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C4AA">
      <w:pPr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eastAsia="zh-CN"/>
          <w14:textFill>
            <w14:solidFill>
              <w14:schemeClr w14:val="tx1"/>
            </w14:solidFill>
          </w14:textFill>
        </w:rPr>
        <w:t>监护仪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维保项目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22BDF15">
      <w:pPr>
        <w:jc w:val="left"/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监护仪维保参数要求:</w:t>
      </w:r>
      <w:bookmarkStart w:id="0" w:name="_GoBack"/>
      <w:bookmarkEnd w:id="0"/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48"/>
        <w:gridCol w:w="1199"/>
        <w:gridCol w:w="1974"/>
      </w:tblGrid>
      <w:tr w14:paraId="3FE3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2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1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F7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是否响应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0D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3A9B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6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保修数量、品牌型号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CC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台，含：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GE Dash4000、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迈瑞imec10、迈瑞imec8、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迈瑞iPM12、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迈瑞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iPM8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迈瑞pm8000、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理邦im60、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理邦im50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等具体以实际数量结算。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8A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62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2CE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F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维保形式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38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全保，在保修服务期内免费提供所有保修所需配件及需定期更换的耗品（各型号血氧探头、心电导联线、血压袖带及延长管）；含不限次数的现场检修、维护保养。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58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2A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CFE7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0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维保期限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70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维保期限：本次谈判服务周期为期一年，经考核合格后续签下一年度合同，最多可续签两年。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1A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4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700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5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备品保障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DB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保证故障发生时，若48小时内无法修复，需提供高质量“备用机”，送至使用科室，延时一天，按1:1顺延保修时间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80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94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0F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54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配件保障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F6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投标人具有强大的耗品供应能力，在甲方存放充足耗品供甲方及时使用（含各型号的血氧探头、心电导联线、血压袖带及延长管）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38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C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B21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71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人员保障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AA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投标人应具有强大技术保障团队，安徽省内必须具有承担本项目所必须的专业技术工程师人数≥2名，并提供工程师社保缴纳证明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D0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DE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F0C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F8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1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投标人应在安徽省内地区设立常驻服务机构。并承诺提供每天 24 小时服务支持，当设备出现故障时，供应商须在 30 分钟内响应，提供电话技术支持。如电话解决不了设备故障， 供应商须在 4小时（包括节假日）内派出技术人员到达设备使用现场进行维修，对故障件免费提供备件支持，并负责故障件更换直至排除故障；为提供更专业、便捷的维修服务， 投标人必须提供客户服务专线电话；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8D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A1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D19B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80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质量保障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43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服务期内：</w:t>
            </w:r>
          </w:p>
          <w:p w14:paraId="3C85B6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供应商应承诺提供完善的质量保证措施，对维保设备提供每年 2 次定期维护、保养、校正服务，包括设备安全检查，质量检查，状态检查，除尘保养，确保设备处于正常工作状态。定期维护结束后，向设备工程部提交详细的检查报告；</w:t>
            </w:r>
          </w:p>
          <w:p w14:paraId="0371F6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维修方指定工程师为用户提供每季度1次设备巡检，巡检内容包括附件外观检查、监护仪性能测试、运行状态检查等，定期上门巡检，提供巡检报告和维修报告给设备工程部；</w:t>
            </w:r>
          </w:p>
          <w:p w14:paraId="55E90C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每年维保服务结束前，将这一年度内维修服务报告、巡检、保养报告电子扫描件，统一提供给设备工程部；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E3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BC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F09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2E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院方依据临床客户满意度调查表每半年做一次满意度评分，90 分以上为合格，90分以下为不合格，并对中标公司进行谈话整改，谈话后未整改的，院方有权随时终止合同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7E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B7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41FDF08">
      <w:pPr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C7C1D"/>
    <w:rsid w:val="6D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2025-12-08T08:35:00Z</dcterms:created>
  <dc:creator>光阳</dc:creator>
  <cp:lastModifiedBy>光阳</cp:lastModifiedBy>
  <dcterms:modified xsi:type="dcterms:W3CDTF">2025-12-08T08:47:22Z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4867C47A448949DFB6B4E39C59E96F1E_11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