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E9781">
      <w:pPr>
        <w:spacing w:before="120" w:beforeLines="50" w:after="120" w:afterLines="50" w:line="520" w:lineRule="exact"/>
        <w:jc w:val="center"/>
        <w:rPr>
          <w:rFonts w:hint="eastAsia" w:ascii="宋体" w:hAnsi="宋体" w:cs="宋体"/>
          <w:b/>
          <w:bCs/>
          <w:color w:val="auto"/>
          <w:kern w:val="36"/>
          <w:sz w:val="40"/>
          <w:szCs w:val="40"/>
          <w:highlight w:val="none"/>
          <w:lang w:eastAsia="zh-CN"/>
        </w:rPr>
      </w:pPr>
      <w:r>
        <w:rPr>
          <w:rFonts w:hint="eastAsia" w:ascii="宋体" w:hAnsi="宋体" w:cs="宋体"/>
          <w:b/>
          <w:bCs/>
          <w:color w:val="auto"/>
          <w:kern w:val="36"/>
          <w:sz w:val="40"/>
          <w:szCs w:val="40"/>
          <w:highlight w:val="none"/>
          <w:lang w:eastAsia="zh-CN"/>
        </w:rPr>
        <w:t>六安市叶集区人民医院（市六院）职业病系统采购项目</w:t>
      </w:r>
    </w:p>
    <w:p w14:paraId="4970AFA0">
      <w:pPr>
        <w:pStyle w:val="5"/>
        <w:rPr>
          <w:color w:val="auto"/>
          <w:highlight w:val="none"/>
        </w:rPr>
      </w:pPr>
    </w:p>
    <w:p w14:paraId="107B945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服</w:t>
      </w:r>
    </w:p>
    <w:p w14:paraId="43D38B8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务</w:t>
      </w:r>
    </w:p>
    <w:p w14:paraId="016DDBD3">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类</w:t>
      </w:r>
    </w:p>
    <w:p w14:paraId="7533074E">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单</w:t>
      </w:r>
    </w:p>
    <w:p w14:paraId="06ED707A">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一</w:t>
      </w:r>
    </w:p>
    <w:p w14:paraId="76352D62">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来</w:t>
      </w:r>
    </w:p>
    <w:p w14:paraId="427C0CD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源</w:t>
      </w:r>
    </w:p>
    <w:p w14:paraId="69538D6D">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采</w:t>
      </w:r>
    </w:p>
    <w:p w14:paraId="2AE77EFC">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购</w:t>
      </w:r>
    </w:p>
    <w:p w14:paraId="6A2A32CB">
      <w:pPr>
        <w:spacing w:line="760" w:lineRule="exact"/>
        <w:jc w:val="center"/>
        <w:rPr>
          <w:rFonts w:ascii="宋体" w:hAnsi="宋体"/>
          <w:b/>
          <w:color w:val="auto"/>
          <w:sz w:val="44"/>
          <w:szCs w:val="44"/>
          <w:highlight w:val="none"/>
        </w:rPr>
      </w:pPr>
      <w:r>
        <w:rPr>
          <w:rFonts w:hint="eastAsia" w:ascii="宋体" w:hAnsi="宋体"/>
          <w:b/>
          <w:color w:val="auto"/>
          <w:sz w:val="44"/>
          <w:szCs w:val="44"/>
          <w:highlight w:val="none"/>
        </w:rPr>
        <w:t>文</w:t>
      </w:r>
    </w:p>
    <w:p w14:paraId="4E86508B">
      <w:pPr>
        <w:spacing w:line="760" w:lineRule="exact"/>
        <w:jc w:val="center"/>
        <w:rPr>
          <w:rFonts w:ascii="宋体" w:hAnsi="宋体"/>
          <w:b/>
          <w:color w:val="auto"/>
          <w:sz w:val="56"/>
          <w:szCs w:val="56"/>
          <w:highlight w:val="none"/>
        </w:rPr>
      </w:pPr>
      <w:r>
        <w:rPr>
          <w:rFonts w:hint="eastAsia" w:ascii="宋体" w:hAnsi="宋体"/>
          <w:b/>
          <w:color w:val="auto"/>
          <w:sz w:val="44"/>
          <w:szCs w:val="44"/>
          <w:highlight w:val="none"/>
        </w:rPr>
        <w:t>件</w:t>
      </w:r>
    </w:p>
    <w:p w14:paraId="60642187">
      <w:pPr>
        <w:rPr>
          <w:rFonts w:ascii="宋体" w:hAnsi="宋体"/>
          <w:b/>
          <w:color w:val="auto"/>
          <w:sz w:val="32"/>
          <w:szCs w:val="32"/>
          <w:highlight w:val="none"/>
        </w:rPr>
      </w:pPr>
    </w:p>
    <w:p w14:paraId="5607E3AD">
      <w:pPr>
        <w:ind w:firstLine="1680" w:firstLineChars="600"/>
        <w:jc w:val="center"/>
        <w:rPr>
          <w:rFonts w:ascii="黑体" w:hAnsi="宋体" w:eastAsia="黑体"/>
          <w:color w:val="auto"/>
          <w:sz w:val="28"/>
          <w:szCs w:val="28"/>
          <w:highlight w:val="none"/>
        </w:rPr>
      </w:pPr>
    </w:p>
    <w:p w14:paraId="1C38B1DB">
      <w:pPr>
        <w:spacing w:line="360" w:lineRule="auto"/>
        <w:ind w:firstLine="840" w:firstLineChars="300"/>
        <w:rPr>
          <w:rFonts w:hint="eastAsia" w:ascii="黑体" w:hAnsi="宋体" w:eastAsia="黑体"/>
          <w:color w:val="auto"/>
          <w:sz w:val="28"/>
          <w:szCs w:val="28"/>
          <w:highlight w:val="none"/>
        </w:rPr>
      </w:pPr>
    </w:p>
    <w:p w14:paraId="64C365D3">
      <w:pPr>
        <w:spacing w:line="360" w:lineRule="auto"/>
        <w:ind w:firstLine="840" w:firstLineChars="300"/>
        <w:rPr>
          <w:rFonts w:ascii="黑体" w:hAnsi="宋体" w:eastAsia="黑体"/>
          <w:color w:val="auto"/>
          <w:sz w:val="28"/>
          <w:szCs w:val="28"/>
          <w:highlight w:val="none"/>
        </w:rPr>
      </w:pPr>
      <w:r>
        <w:rPr>
          <w:rFonts w:hint="eastAsia" w:ascii="黑体" w:hAnsi="宋体" w:eastAsia="黑体"/>
          <w:color w:val="auto"/>
          <w:sz w:val="28"/>
          <w:szCs w:val="28"/>
          <w:highlight w:val="none"/>
        </w:rPr>
        <w:t>项目单位：</w:t>
      </w:r>
      <w:r>
        <w:rPr>
          <w:rFonts w:hint="eastAsia" w:ascii="黑体" w:hAnsi="宋体" w:eastAsia="黑体"/>
          <w:color w:val="auto"/>
          <w:sz w:val="28"/>
          <w:szCs w:val="28"/>
          <w:highlight w:val="none"/>
          <w:lang w:val="en-US" w:eastAsia="zh-CN"/>
        </w:rPr>
        <w:t>六安市叶集区人民医院（六安市第六人民医院）</w:t>
      </w:r>
      <w:r>
        <w:rPr>
          <w:rFonts w:hint="eastAsia" w:ascii="黑体" w:hAnsi="宋体" w:eastAsia="黑体"/>
          <w:color w:val="auto"/>
          <w:sz w:val="28"/>
          <w:szCs w:val="28"/>
          <w:highlight w:val="none"/>
        </w:rPr>
        <w:t xml:space="preserve">                 </w:t>
      </w:r>
    </w:p>
    <w:p w14:paraId="45061B9E">
      <w:pPr>
        <w:spacing w:line="360" w:lineRule="auto"/>
        <w:ind w:firstLine="2240" w:firstLineChars="800"/>
        <w:rPr>
          <w:rFonts w:ascii="黑体" w:hAnsi="宋体" w:eastAsia="黑体"/>
          <w:color w:val="auto"/>
          <w:sz w:val="28"/>
          <w:szCs w:val="28"/>
          <w:highlight w:val="none"/>
        </w:rPr>
      </w:pPr>
      <w:r>
        <w:rPr>
          <w:rFonts w:hint="eastAsia" w:ascii="黑体" w:hAnsi="宋体" w:eastAsia="黑体"/>
          <w:color w:val="auto"/>
          <w:sz w:val="28"/>
          <w:szCs w:val="28"/>
          <w:highlight w:val="none"/>
        </w:rPr>
        <w:t>代理机构：安徽同方工程咨询有限公司</w:t>
      </w:r>
      <w:r>
        <w:rPr>
          <w:rFonts w:ascii="黑体" w:hAnsi="宋体" w:eastAsia="黑体"/>
          <w:color w:val="auto"/>
          <w:sz w:val="28"/>
          <w:szCs w:val="28"/>
          <w:highlight w:val="none"/>
        </w:rPr>
        <w:t xml:space="preserve"> </w:t>
      </w:r>
    </w:p>
    <w:p w14:paraId="5969594A">
      <w:pPr>
        <w:jc w:val="center"/>
        <w:rPr>
          <w:rFonts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2026</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lang w:val="en-US" w:eastAsia="zh-CN"/>
        </w:rPr>
        <w:t>3</w:t>
      </w:r>
      <w:r>
        <w:rPr>
          <w:rFonts w:hint="eastAsia" w:ascii="黑体" w:hAnsi="宋体" w:eastAsia="黑体"/>
          <w:color w:val="auto"/>
          <w:sz w:val="28"/>
          <w:szCs w:val="28"/>
          <w:highlight w:val="none"/>
        </w:rPr>
        <w:t>月</w:t>
      </w:r>
      <w:bookmarkStart w:id="0" w:name="_Toc18671549"/>
    </w:p>
    <w:p w14:paraId="692D7676">
      <w:pPr>
        <w:jc w:val="left"/>
        <w:rPr>
          <w:color w:val="auto"/>
          <w:highlight w:val="none"/>
        </w:rPr>
      </w:pPr>
      <w:r>
        <w:rPr>
          <w:rFonts w:hint="eastAsia" w:ascii="黑体" w:hAnsi="宋体" w:eastAsia="黑体"/>
          <w:color w:val="auto"/>
          <w:sz w:val="28"/>
          <w:szCs w:val="28"/>
          <w:highlight w:val="none"/>
        </w:rPr>
        <w:br w:type="page"/>
      </w:r>
    </w:p>
    <w:sdt>
      <w:sdtPr>
        <w:rPr>
          <w:rFonts w:hint="eastAsia" w:ascii="黑体" w:hAnsi="黑体" w:eastAsia="黑体" w:cs="黑体"/>
          <w:b/>
          <w:bCs/>
          <w:color w:val="auto"/>
          <w:sz w:val="40"/>
          <w:szCs w:val="48"/>
          <w:highlight w:val="none"/>
        </w:rPr>
        <w:id w:val="147458712"/>
      </w:sdtPr>
      <w:sdtEndPr>
        <w:rPr>
          <w:rFonts w:hint="eastAsia" w:ascii="宋体" w:hAnsi="宋体" w:eastAsia="宋体" w:cs="宋体"/>
          <w:b/>
          <w:bCs/>
          <w:color w:val="auto"/>
          <w:sz w:val="21"/>
          <w:szCs w:val="32"/>
          <w:highlight w:val="none"/>
        </w:rPr>
      </w:sdtEndPr>
      <w:sdtContent>
        <w:p w14:paraId="00ACAD80">
          <w:pPr>
            <w:jc w:val="center"/>
            <w:rPr>
              <w:rFonts w:ascii="黑体" w:hAnsi="黑体" w:eastAsia="黑体" w:cs="黑体"/>
              <w:b/>
              <w:bCs/>
              <w:color w:val="auto"/>
              <w:sz w:val="40"/>
              <w:szCs w:val="48"/>
              <w:highlight w:val="none"/>
            </w:rPr>
          </w:pPr>
        </w:p>
        <w:p w14:paraId="01F18E67">
          <w:pPr>
            <w:jc w:val="center"/>
            <w:rPr>
              <w:rFonts w:ascii="黑体" w:hAnsi="黑体" w:eastAsia="黑体" w:cs="黑体"/>
              <w:b/>
              <w:bCs/>
              <w:color w:val="auto"/>
              <w:sz w:val="40"/>
              <w:szCs w:val="48"/>
              <w:highlight w:val="none"/>
            </w:rPr>
          </w:pPr>
          <w:r>
            <w:rPr>
              <w:rFonts w:hint="eastAsia" w:ascii="黑体" w:hAnsi="黑体" w:eastAsia="黑体" w:cs="黑体"/>
              <w:b/>
              <w:bCs/>
              <w:color w:val="auto"/>
              <w:sz w:val="40"/>
              <w:szCs w:val="48"/>
              <w:highlight w:val="none"/>
            </w:rPr>
            <w:t>目   录</w:t>
          </w:r>
        </w:p>
        <w:p w14:paraId="3B797ACC">
          <w:pPr>
            <w:jc w:val="center"/>
            <w:rPr>
              <w:rFonts w:ascii="黑体" w:hAnsi="黑体" w:eastAsia="黑体" w:cs="黑体"/>
              <w:b/>
              <w:bCs/>
              <w:color w:val="auto"/>
              <w:sz w:val="36"/>
              <w:szCs w:val="44"/>
              <w:highlight w:val="none"/>
            </w:rPr>
          </w:pPr>
        </w:p>
        <w:p w14:paraId="27755821">
          <w:pPr>
            <w:pStyle w:val="11"/>
            <w:tabs>
              <w:tab w:val="right" w:leader="dot" w:pos="8367"/>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TOC \o "1-1" \h \u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_Toc13880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六安市叶集区人民医院（市六院）职业病系统采购项目</w:t>
          </w:r>
          <w:r>
            <w:rPr>
              <w:rFonts w:hint="eastAsia" w:ascii="宋体" w:hAnsi="宋体" w:eastAsia="宋体" w:cs="宋体"/>
              <w:b w:val="0"/>
              <w:bCs w:val="0"/>
              <w:sz w:val="28"/>
              <w:szCs w:val="28"/>
            </w:rPr>
            <w:t>单一来源方式采购的公示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_Toc13880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DA89D7D">
          <w:pPr>
            <w:pStyle w:val="11"/>
            <w:tabs>
              <w:tab w:val="right" w:leader="dot" w:pos="8367"/>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_Toc18216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 xml:space="preserve">第一章 </w:t>
          </w:r>
          <w:r>
            <w:rPr>
              <w:rFonts w:hint="eastAsia" w:ascii="宋体" w:hAnsi="宋体" w:eastAsia="宋体" w:cs="宋体"/>
              <w:b w:val="0"/>
              <w:bCs w:val="0"/>
              <w:sz w:val="28"/>
              <w:szCs w:val="28"/>
              <w:lang w:val="en-US" w:eastAsia="zh-CN"/>
            </w:rPr>
            <w:t xml:space="preserve"> </w:t>
          </w:r>
          <w:bookmarkStart w:id="72" w:name="_GoBack"/>
          <w:bookmarkEnd w:id="72"/>
          <w:r>
            <w:rPr>
              <w:rFonts w:hint="eastAsia" w:ascii="宋体" w:hAnsi="宋体" w:eastAsia="宋体" w:cs="宋体"/>
              <w:b w:val="0"/>
              <w:bCs w:val="0"/>
              <w:sz w:val="28"/>
              <w:szCs w:val="28"/>
              <w:lang w:eastAsia="zh-CN"/>
            </w:rPr>
            <w:t>单一来源采购邀请书</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_Toc18216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55ED508">
          <w:pPr>
            <w:pStyle w:val="11"/>
            <w:tabs>
              <w:tab w:val="right" w:leader="dot" w:pos="8367"/>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_Toc16033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第二章  供应商须知前附表</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_Toc16033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C9157C2">
          <w:pPr>
            <w:pStyle w:val="11"/>
            <w:tabs>
              <w:tab w:val="right" w:leader="dot" w:pos="8367"/>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_Toc31112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第三章  供应商须知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_Toc31112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FDCA74B">
          <w:pPr>
            <w:pStyle w:val="11"/>
            <w:tabs>
              <w:tab w:val="right" w:leader="dot" w:pos="8367"/>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_Toc17486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第四章  采购合同</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_Toc17486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798B3C3">
          <w:pPr>
            <w:pStyle w:val="11"/>
            <w:tabs>
              <w:tab w:val="right" w:leader="dot" w:pos="8367"/>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_Toc4918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第五章</w:t>
          </w:r>
          <w:r>
            <w:rPr>
              <w:rFonts w:hint="eastAsia" w:ascii="宋体" w:hAnsi="宋体" w:eastAsia="宋体" w:cs="宋体"/>
              <w:b w:val="0"/>
              <w:bCs w:val="0"/>
              <w:sz w:val="28"/>
              <w:szCs w:val="28"/>
              <w:lang w:eastAsia="zh-CN"/>
            </w:rPr>
            <w:t xml:space="preserve">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采购</w:t>
          </w:r>
          <w:r>
            <w:rPr>
              <w:rFonts w:hint="eastAsia" w:ascii="宋体" w:hAnsi="宋体" w:eastAsia="宋体" w:cs="宋体"/>
              <w:b w:val="0"/>
              <w:bCs w:val="0"/>
              <w:sz w:val="28"/>
              <w:szCs w:val="28"/>
              <w:lang w:val="en-US" w:eastAsia="zh-CN"/>
            </w:rPr>
            <w:t>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_Toc4918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4423166">
          <w:pPr>
            <w:pStyle w:val="11"/>
            <w:tabs>
              <w:tab w:val="right" w:leader="dot" w:pos="8367"/>
            </w:tabs>
            <w:spacing w:line="36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_Toc29634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第六章  单一来源响应文件</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_Toc29634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05F1A92">
          <w:pPr>
            <w:pStyle w:val="11"/>
            <w:tabs>
              <w:tab w:val="right" w:leader="dot" w:pos="8367"/>
            </w:tabs>
            <w:spacing w:line="360" w:lineRule="auto"/>
            <w:rPr>
              <w:rFonts w:hint="eastAsia" w:ascii="宋体" w:hAnsi="宋体" w:eastAsia="宋体" w:cs="宋体"/>
              <w:b w:val="0"/>
              <w:bCs w:val="0"/>
              <w:sz w:val="28"/>
              <w:szCs w:val="28"/>
            </w:rPr>
          </w:pPr>
        </w:p>
        <w:p w14:paraId="7E9FBE9B">
          <w:pPr>
            <w:spacing w:line="360" w:lineRule="auto"/>
          </w:pPr>
          <w:r>
            <w:rPr>
              <w:rFonts w:hint="eastAsia" w:ascii="宋体" w:hAnsi="宋体" w:eastAsia="宋体" w:cs="宋体"/>
              <w:b w:val="0"/>
              <w:bCs w:val="0"/>
              <w:sz w:val="28"/>
              <w:szCs w:val="28"/>
            </w:rPr>
            <w:fldChar w:fldCharType="end"/>
          </w:r>
        </w:p>
        <w:p w14:paraId="32F474A9">
          <w:pPr>
            <w:spacing w:line="440" w:lineRule="exact"/>
            <w:rPr>
              <w:color w:val="auto"/>
              <w:highlight w:val="none"/>
            </w:rPr>
          </w:pPr>
        </w:p>
      </w:sdtContent>
    </w:sdt>
    <w:p w14:paraId="45F16A50">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cs="宋体"/>
          <w:b/>
          <w:bCs/>
          <w:color w:val="auto"/>
          <w:sz w:val="40"/>
          <w:szCs w:val="40"/>
          <w:highlight w:val="none"/>
          <w:lang w:eastAsia="zh-CN"/>
        </w:rPr>
        <w:sectPr>
          <w:footerReference r:id="rId3" w:type="default"/>
          <w:pgSz w:w="11907" w:h="16839"/>
          <w:pgMar w:top="1118" w:right="1769" w:bottom="1233" w:left="1771" w:header="877" w:footer="982" w:gutter="0"/>
          <w:pgNumType w:fmt="decimal"/>
          <w:cols w:space="720" w:num="1"/>
        </w:sectPr>
      </w:pPr>
      <w:bookmarkStart w:id="1" w:name="_Toc30348"/>
    </w:p>
    <w:p w14:paraId="6DDDAB96">
      <w:pPr>
        <w:pStyle w:val="2"/>
        <w:bidi w:val="0"/>
        <w:rPr>
          <w:rFonts w:hint="eastAsia" w:ascii="宋体" w:hAnsi="宋体" w:eastAsia="宋体" w:cs="宋体"/>
          <w:b/>
          <w:bCs/>
          <w:color w:val="auto"/>
          <w:szCs w:val="40"/>
          <w:highlight w:val="none"/>
        </w:rPr>
      </w:pPr>
      <w:bookmarkStart w:id="2" w:name="_Toc13880"/>
      <w:r>
        <w:rPr>
          <w:rFonts w:hint="eastAsia"/>
          <w:lang w:eastAsia="zh-CN"/>
        </w:rPr>
        <w:t>六安市叶集区人民医院（市六院）职业病系统采购项目</w:t>
      </w:r>
      <w:r>
        <w:rPr>
          <w:rFonts w:hint="eastAsia"/>
        </w:rPr>
        <w:t>单一来源方式采购的公示</w:t>
      </w:r>
      <w:bookmarkEnd w:id="2"/>
    </w:p>
    <w:p w14:paraId="2A400B0C">
      <w:pPr>
        <w:pStyle w:val="5"/>
        <w:keepNext w:val="0"/>
        <w:keepLines w:val="0"/>
        <w:pageBreakBefore w:val="0"/>
        <w:widowControl w:val="0"/>
        <w:kinsoku/>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p>
    <w:p w14:paraId="197A7C82">
      <w:pPr>
        <w:pStyle w:val="5"/>
        <w:keepNext w:val="0"/>
        <w:keepLines w:val="0"/>
        <w:pageBreakBefore w:val="0"/>
        <w:widowControl w:val="0"/>
        <w:kinsoku/>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根据《中华人民共和国政府采购法》、《政府采购非招标方式管理办法》（财政部令第74号）等相关法律规定，现就本项目拟采取单一来源方式采购予以公示。</w:t>
      </w:r>
    </w:p>
    <w:p w14:paraId="36EDBABF">
      <w:pPr>
        <w:pStyle w:val="5"/>
        <w:keepNext w:val="0"/>
        <w:keepLines w:val="0"/>
        <w:pageBreakBefore w:val="0"/>
        <w:widowControl w:val="0"/>
        <w:kinsoku/>
        <w:overflowPunct/>
        <w:topLinePunct w:val="0"/>
        <w:autoSpaceDE/>
        <w:autoSpaceDN/>
        <w:bidi w:val="0"/>
        <w:adjustRightInd/>
        <w:snapToGrid/>
        <w:spacing w:after="0" w:line="360" w:lineRule="auto"/>
        <w:ind w:left="559" w:leftChars="266"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一、采购人名称：</w:t>
      </w:r>
      <w:r>
        <w:rPr>
          <w:rFonts w:hint="eastAsia" w:ascii="仿宋" w:hAnsi="仿宋" w:eastAsia="仿宋" w:cs="仿宋"/>
          <w:color w:val="auto"/>
          <w:sz w:val="28"/>
          <w:szCs w:val="28"/>
          <w:highlight w:val="none"/>
          <w:lang w:val="en-US" w:eastAsia="zh-CN"/>
        </w:rPr>
        <w:t>六安市叶集区人民医院（六安市第六人民医院）</w:t>
      </w:r>
      <w:r>
        <w:rPr>
          <w:rFonts w:hint="eastAsia" w:ascii="仿宋" w:hAnsi="仿宋" w:eastAsia="仿宋" w:cs="仿宋"/>
          <w:b/>
          <w:bCs/>
          <w:color w:val="auto"/>
          <w:sz w:val="28"/>
          <w:szCs w:val="28"/>
          <w:highlight w:val="none"/>
          <w:lang w:val="en-US" w:eastAsia="zh-CN"/>
        </w:rPr>
        <w:t>二、采购人地址：</w:t>
      </w:r>
      <w:r>
        <w:rPr>
          <w:rFonts w:hint="eastAsia" w:ascii="仿宋" w:hAnsi="仿宋" w:eastAsia="仿宋" w:cs="仿宋"/>
          <w:color w:val="auto"/>
          <w:sz w:val="28"/>
          <w:szCs w:val="28"/>
          <w:highlight w:val="none"/>
          <w:lang w:val="en-US" w:eastAsia="zh-CN"/>
        </w:rPr>
        <w:t>六安市叶集区民强北路与兴叶大道交叉口</w:t>
      </w:r>
    </w:p>
    <w:p w14:paraId="5DE5D80B">
      <w:pPr>
        <w:pStyle w:val="5"/>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三、采购</w:t>
      </w:r>
      <w:r>
        <w:rPr>
          <w:rFonts w:hint="eastAsia" w:ascii="仿宋" w:hAnsi="仿宋" w:eastAsia="仿宋" w:cs="仿宋"/>
          <w:b/>
          <w:bCs/>
          <w:color w:val="auto"/>
          <w:sz w:val="28"/>
          <w:szCs w:val="28"/>
          <w:highlight w:val="none"/>
        </w:rPr>
        <w:t>项目名称：</w:t>
      </w:r>
      <w:r>
        <w:rPr>
          <w:rFonts w:hint="eastAsia" w:ascii="仿宋" w:hAnsi="仿宋" w:eastAsia="仿宋" w:cs="仿宋"/>
          <w:b w:val="0"/>
          <w:bCs w:val="0"/>
          <w:color w:val="auto"/>
          <w:sz w:val="28"/>
          <w:szCs w:val="28"/>
          <w:highlight w:val="none"/>
        </w:rPr>
        <w:t>六安市叶集区人民医院（市六院）职业病系统采购项目</w:t>
      </w: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LASYJQRMYY-XXK2026-08</w:t>
      </w:r>
      <w:r>
        <w:rPr>
          <w:rFonts w:hint="eastAsia" w:ascii="仿宋" w:hAnsi="仿宋" w:eastAsia="仿宋" w:cs="仿宋"/>
          <w:color w:val="auto"/>
          <w:sz w:val="28"/>
          <w:szCs w:val="28"/>
          <w:highlight w:val="none"/>
        </w:rPr>
        <w:t>）</w:t>
      </w:r>
    </w:p>
    <w:p w14:paraId="1BDBC687">
      <w:pPr>
        <w:pStyle w:val="5"/>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项目类型：</w:t>
      </w:r>
      <w:r>
        <w:rPr>
          <w:rFonts w:hint="eastAsia" w:ascii="仿宋" w:hAnsi="仿宋" w:eastAsia="仿宋" w:cs="仿宋"/>
          <w:color w:val="auto"/>
          <w:sz w:val="28"/>
          <w:szCs w:val="28"/>
          <w:highlight w:val="none"/>
        </w:rPr>
        <w:t>服务类</w:t>
      </w:r>
    </w:p>
    <w:p w14:paraId="79B71AEB">
      <w:pPr>
        <w:pStyle w:val="5"/>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拟采购服务的说明：</w:t>
      </w:r>
      <w:r>
        <w:rPr>
          <w:rFonts w:hint="eastAsia" w:ascii="仿宋" w:hAnsi="仿宋" w:eastAsia="仿宋" w:cs="仿宋"/>
          <w:b w:val="0"/>
          <w:bCs w:val="0"/>
          <w:color w:val="auto"/>
          <w:sz w:val="28"/>
          <w:szCs w:val="28"/>
          <w:highlight w:val="none"/>
        </w:rPr>
        <w:t>为适应医院发展需要，现计划对心电信息管理系统进行升级建设。</w:t>
      </w:r>
    </w:p>
    <w:p w14:paraId="6429FD7C">
      <w:pPr>
        <w:pStyle w:val="5"/>
        <w:keepNext w:val="0"/>
        <w:keepLines w:val="0"/>
        <w:pageBreakBefore w:val="0"/>
        <w:widowControl w:val="0"/>
        <w:kinsoku/>
        <w:overflowPunct/>
        <w:topLinePunct w:val="0"/>
        <w:autoSpaceDE/>
        <w:autoSpaceDN/>
        <w:bidi w:val="0"/>
        <w:adjustRightInd/>
        <w:snapToGrid/>
        <w:spacing w:after="0" w:line="360" w:lineRule="auto"/>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拟采购服务的预算金额：</w:t>
      </w: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rPr>
        <w:t>万元</w:t>
      </w:r>
    </w:p>
    <w:p w14:paraId="700514C6">
      <w:pPr>
        <w:keepNext w:val="0"/>
        <w:keepLines w:val="0"/>
        <w:pageBreakBefore w:val="0"/>
        <w:widowControl w:val="0"/>
        <w:kinsoku/>
        <w:wordWrap w:val="0"/>
        <w:overflowPunct/>
        <w:topLinePunct w:val="0"/>
        <w:autoSpaceDE/>
        <w:autoSpaceDN/>
        <w:bidi w:val="0"/>
        <w:adjustRightInd/>
        <w:snapToGrid/>
        <w:spacing w:line="360" w:lineRule="auto"/>
        <w:ind w:left="559" w:leftChars="266"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采用单一来源采购方式的原因及说明：</w:t>
      </w:r>
    </w:p>
    <w:p w14:paraId="0498869A">
      <w:pPr>
        <w:pStyle w:val="51"/>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随着医院业务不断发展需要，目前体检中心急需开展职业病体检业务，更好的保障体检工作开展，需要升级扩建系统功能。本次升级从技术架构，数据库，系统功能，接口等方面来说，是原有系统的升级和延续，沿用当前系统的技术架构，历史数据，基本功能，本项目必须保证服务配套的延续性，具体原因如下：</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w:t>
      </w:r>
      <w:r>
        <w:rPr>
          <w:rFonts w:hint="eastAsia" w:ascii="仿宋" w:hAnsi="仿宋" w:eastAsia="仿宋" w:cs="仿宋"/>
          <w:b/>
          <w:bCs/>
          <w:color w:val="auto"/>
          <w:kern w:val="2"/>
          <w:sz w:val="28"/>
          <w:szCs w:val="28"/>
          <w:highlight w:val="none"/>
          <w:lang w:val="en-US" w:eastAsia="zh-CN" w:bidi="ar-SA"/>
        </w:rPr>
        <w:t xml:space="preserve"> 1、服务具有技术延续性。</w:t>
      </w:r>
      <w:r>
        <w:rPr>
          <w:rFonts w:hint="eastAsia" w:ascii="仿宋" w:hAnsi="仿宋" w:eastAsia="仿宋" w:cs="仿宋"/>
          <w:color w:val="auto"/>
          <w:kern w:val="2"/>
          <w:sz w:val="28"/>
          <w:szCs w:val="28"/>
          <w:highlight w:val="none"/>
          <w:lang w:val="en-US" w:eastAsia="zh-CN" w:bidi="ar-SA"/>
        </w:rPr>
        <w:t>本项目采购的体检信息系统升级内容，包括职业病体检业务模块及相关功能扩展，均须在现有北京标软体检信息管理系统基础上进行深度开发与部署。相关产品在技术架构、数据库结构、系统功能及接口协议等方面，与在用系统形成完整闭环的技术体系。其他品牌软件厂家无法在现有信息系统基础上进行有效开发或功能扩展，只有基于原系统进行升级，方可实现系统功能的无缝衔接与业务运行的持续稳定。</w:t>
      </w:r>
    </w:p>
    <w:p w14:paraId="42DFEB89">
      <w:pPr>
        <w:pStyle w:val="51"/>
        <w:keepNext w:val="0"/>
        <w:keepLines w:val="0"/>
        <w:pageBreakBefore w:val="0"/>
        <w:widowControl w:val="0"/>
        <w:kinsoku/>
        <w:overflowPunct/>
        <w:topLinePunct w:val="0"/>
        <w:autoSpaceDE/>
        <w:autoSpaceDN/>
        <w:bidi w:val="0"/>
        <w:adjustRightInd/>
        <w:snapToGrid/>
        <w:spacing w:line="360" w:lineRule="auto"/>
        <w:ind w:firstLine="420"/>
        <w:textAlignment w:val="auto"/>
        <w:rPr>
          <w:rFonts w:hint="eastAsia" w:eastAsiaTheme="minorEastAsia"/>
          <w:color w:val="auto"/>
          <w:highlight w:val="none"/>
          <w:lang w:eastAsia="zh-CN"/>
        </w:rPr>
      </w:pPr>
      <w:r>
        <w:rPr>
          <w:rFonts w:hint="eastAsia" w:ascii="仿宋" w:hAnsi="仿宋" w:eastAsia="仿宋" w:cs="仿宋"/>
          <w:b/>
          <w:bCs/>
          <w:color w:val="auto"/>
          <w:kern w:val="2"/>
          <w:sz w:val="28"/>
          <w:szCs w:val="28"/>
          <w:highlight w:val="none"/>
          <w:lang w:val="en-US" w:eastAsia="zh-CN" w:bidi="ar-SA"/>
        </w:rPr>
        <w:t>2、服务具有数据与业务安全性。</w:t>
      </w:r>
      <w:r>
        <w:rPr>
          <w:rFonts w:hint="eastAsia" w:ascii="仿宋" w:hAnsi="仿宋" w:eastAsia="仿宋" w:cs="仿宋"/>
          <w:color w:val="auto"/>
          <w:kern w:val="2"/>
          <w:sz w:val="28"/>
          <w:szCs w:val="28"/>
          <w:highlight w:val="none"/>
          <w:lang w:val="en-US" w:eastAsia="zh-CN" w:bidi="ar-SA"/>
        </w:rPr>
        <w:t>体检信息系统涉及大量历史体检数据、业务流程及接口交互，本次升级须确保业务数据的一致性、稳定性与延续性。由原系统供应商的授权经销商统一实施，可最大限度降低系统切换或异构系统对接带来的数据风险与业务中断隐患，保障体检中心职业病体检业务的平稳上线与长期可靠运行。安徽朗宇医疗器械有限公司作为北京标软体检信息管理系统在安徽省六安市地区的唯一经销商，具备提供本次升级服务的唯一性与不可替代性。</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sz w:val="28"/>
          <w:szCs w:val="28"/>
          <w:highlight w:val="none"/>
          <w:lang w:val="en-US" w:eastAsia="zh-CN"/>
        </w:rPr>
        <w:t xml:space="preserve">    根据《中华人民共和国政府采购法》第三十一条第（一）项及《中华人民共和国政府采购法实施条例》第二十七条规定，论证专家一致认为：安徽朗宇医疗器械有限公司符合本项目单一来源采购供应商。</w:t>
      </w:r>
    </w:p>
    <w:p w14:paraId="7E6A1263">
      <w:pPr>
        <w:keepNext w:val="0"/>
        <w:keepLines w:val="0"/>
        <w:pageBreakBefore w:val="0"/>
        <w:widowControl w:val="0"/>
        <w:kinsoku/>
        <w:wordWrap w:val="0"/>
        <w:overflowPunct/>
        <w:topLinePunct w:val="0"/>
        <w:autoSpaceDE/>
        <w:autoSpaceDN/>
        <w:bidi w:val="0"/>
        <w:adjustRightInd/>
        <w:snapToGrid/>
        <w:spacing w:line="360" w:lineRule="auto"/>
        <w:ind w:firstLine="562" w:firstLineChars="200"/>
        <w:textAlignment w:val="auto"/>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拟定供应商信息：</w:t>
      </w:r>
      <w:r>
        <w:rPr>
          <w:rFonts w:hint="eastAsia" w:ascii="仿宋" w:hAnsi="仿宋" w:eastAsia="仿宋" w:cs="仿宋"/>
          <w:color w:val="auto"/>
          <w:sz w:val="28"/>
          <w:szCs w:val="28"/>
          <w:highlight w:val="none"/>
        </w:rPr>
        <w:t>安徽朗宇医疗器械有限公司</w:t>
      </w:r>
    </w:p>
    <w:p w14:paraId="7D6A53FF">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九、拟定唯一供应商地址：</w:t>
      </w:r>
      <w:r>
        <w:rPr>
          <w:rFonts w:hint="eastAsia" w:ascii="仿宋" w:hAnsi="仿宋" w:eastAsia="仿宋" w:cs="仿宋"/>
          <w:color w:val="auto"/>
          <w:sz w:val="28"/>
          <w:szCs w:val="28"/>
          <w:highlight w:val="none"/>
        </w:rPr>
        <w:t>安徽长丰双凤经济开发区淮南北路22号宝湾国际广场展交馆A1-132室</w:t>
      </w:r>
    </w:p>
    <w:p w14:paraId="210436FC">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黑体" w:hAnsi="黑体" w:eastAsia="黑体" w:cs="黑体"/>
          <w:color w:val="auto"/>
          <w:sz w:val="28"/>
          <w:szCs w:val="28"/>
          <w:highlight w:val="none"/>
          <w:vertAlign w:val="baseline"/>
        </w:rPr>
      </w:pPr>
      <w:r>
        <w:rPr>
          <w:rFonts w:hint="eastAsia" w:ascii="仿宋" w:hAnsi="仿宋" w:eastAsia="仿宋" w:cs="仿宋"/>
          <w:b/>
          <w:bCs/>
          <w:color w:val="auto"/>
          <w:sz w:val="28"/>
          <w:szCs w:val="28"/>
          <w:highlight w:val="none"/>
          <w:lang w:val="en-US" w:eastAsia="zh-CN"/>
        </w:rPr>
        <w:t>十、</w:t>
      </w:r>
      <w:r>
        <w:rPr>
          <w:rFonts w:hint="eastAsia" w:ascii="仿宋" w:hAnsi="仿宋" w:eastAsia="仿宋" w:cs="仿宋"/>
          <w:color w:val="auto"/>
          <w:sz w:val="28"/>
          <w:szCs w:val="28"/>
          <w:highlight w:val="none"/>
          <w:lang w:val="en-US" w:eastAsia="zh-CN"/>
        </w:rPr>
        <w:t>专业人员对相关供应商因必须保证原有采购项目</w:t>
      </w:r>
      <w:r>
        <w:rPr>
          <w:rFonts w:hint="eastAsia" w:ascii="仿宋" w:hAnsi="仿宋" w:eastAsia="仿宋" w:cs="仿宋"/>
          <w:color w:val="auto"/>
          <w:kern w:val="2"/>
          <w:sz w:val="28"/>
          <w:szCs w:val="28"/>
          <w:highlight w:val="none"/>
          <w:lang w:val="en-US" w:eastAsia="zh-CN" w:bidi="ar-SA"/>
        </w:rPr>
        <w:t>兼容</w:t>
      </w:r>
      <w:r>
        <w:rPr>
          <w:rFonts w:hint="eastAsia" w:ascii="仿宋" w:hAnsi="仿宋" w:eastAsia="仿宋" w:cs="仿宋"/>
          <w:color w:val="auto"/>
          <w:sz w:val="28"/>
          <w:szCs w:val="28"/>
          <w:highlight w:val="none"/>
          <w:lang w:val="en-US" w:eastAsia="zh-CN"/>
        </w:rPr>
        <w:t>的要求，需要继续从原供应商处添购等原因的具体论证意见：本项目符合单一来源采购的相关要求，建议采用单一来源方式进行采购。</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4486"/>
        <w:gridCol w:w="2115"/>
      </w:tblGrid>
      <w:tr w14:paraId="3AF0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0" w:type="dxa"/>
            <w:vAlign w:val="top"/>
          </w:tcPr>
          <w:p w14:paraId="2964AC18">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姓名</w:t>
            </w:r>
          </w:p>
        </w:tc>
        <w:tc>
          <w:tcPr>
            <w:tcW w:w="4486" w:type="dxa"/>
            <w:vAlign w:val="top"/>
          </w:tcPr>
          <w:p w14:paraId="172ECCEC">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工作单位</w:t>
            </w:r>
          </w:p>
        </w:tc>
        <w:tc>
          <w:tcPr>
            <w:tcW w:w="2115" w:type="dxa"/>
            <w:vAlign w:val="top"/>
          </w:tcPr>
          <w:p w14:paraId="52C68FA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职称/职务</w:t>
            </w:r>
          </w:p>
        </w:tc>
      </w:tr>
      <w:tr w14:paraId="22E5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71F3B2DE">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檀祥云</w:t>
            </w:r>
          </w:p>
        </w:tc>
        <w:tc>
          <w:tcPr>
            <w:tcW w:w="4486" w:type="dxa"/>
            <w:vAlign w:val="top"/>
          </w:tcPr>
          <w:p w14:paraId="5675095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vertAlign w:val="baseline"/>
              </w:rPr>
              <w:t>安徽省淠史杭灌区管理总局</w:t>
            </w:r>
          </w:p>
        </w:tc>
        <w:tc>
          <w:tcPr>
            <w:tcW w:w="2115" w:type="dxa"/>
            <w:vAlign w:val="top"/>
          </w:tcPr>
          <w:p w14:paraId="7F2CDA1F">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高工</w:t>
            </w:r>
          </w:p>
        </w:tc>
      </w:tr>
      <w:tr w14:paraId="1B4C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1C810299">
            <w:pPr>
              <w:keepNext w:val="0"/>
              <w:keepLines w:val="0"/>
              <w:pageBreakBefore w:val="0"/>
              <w:widowControl w:val="0"/>
              <w:tabs>
                <w:tab w:val="left" w:pos="593"/>
              </w:tabs>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吴孝俊</w:t>
            </w:r>
          </w:p>
        </w:tc>
        <w:tc>
          <w:tcPr>
            <w:tcW w:w="4486" w:type="dxa"/>
            <w:vAlign w:val="top"/>
          </w:tcPr>
          <w:p w14:paraId="7E6FDEFA">
            <w:pPr>
              <w:keepNext w:val="0"/>
              <w:keepLines w:val="0"/>
              <w:pageBreakBefore w:val="0"/>
              <w:widowControl w:val="0"/>
              <w:tabs>
                <w:tab w:val="left" w:pos="375"/>
              </w:tabs>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安徽省六安第一中学</w:t>
            </w:r>
          </w:p>
        </w:tc>
        <w:tc>
          <w:tcPr>
            <w:tcW w:w="2115" w:type="dxa"/>
            <w:vAlign w:val="top"/>
          </w:tcPr>
          <w:p w14:paraId="3AAA9CA1">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高工</w:t>
            </w:r>
          </w:p>
        </w:tc>
      </w:tr>
      <w:tr w14:paraId="0E49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Align w:val="top"/>
          </w:tcPr>
          <w:p w14:paraId="3930AB8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张鹏</w:t>
            </w:r>
          </w:p>
        </w:tc>
        <w:tc>
          <w:tcPr>
            <w:tcW w:w="4486" w:type="dxa"/>
            <w:vAlign w:val="top"/>
          </w:tcPr>
          <w:p w14:paraId="6EB9B2F6">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皖西卫生职业学院附属医院</w:t>
            </w:r>
          </w:p>
        </w:tc>
        <w:tc>
          <w:tcPr>
            <w:tcW w:w="2115" w:type="dxa"/>
            <w:vAlign w:val="top"/>
          </w:tcPr>
          <w:p w14:paraId="1E65F0B2">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高工</w:t>
            </w:r>
          </w:p>
        </w:tc>
      </w:tr>
    </w:tbl>
    <w:p w14:paraId="0570B872">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公示期限：</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日。任何供应商、单位或个人对采用单一来源采购方式有异议的，可以在公示期内以书面形式向采购人反映。如无异议，公示结束后将采用单一来源采购方式采购。</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color w:val="auto"/>
          <w:sz w:val="28"/>
          <w:szCs w:val="28"/>
          <w:highlight w:val="none"/>
          <w:lang w:val="en-US" w:eastAsia="zh-CN"/>
        </w:rPr>
        <w:t>十二、协商时间及方式：</w:t>
      </w:r>
      <w:r>
        <w:rPr>
          <w:rFonts w:hint="eastAsia" w:ascii="仿宋" w:hAnsi="仿宋" w:eastAsia="仿宋" w:cs="仿宋"/>
          <w:b/>
          <w:bCs/>
          <w:color w:val="auto"/>
          <w:sz w:val="28"/>
          <w:szCs w:val="28"/>
          <w:highlight w:val="none"/>
          <w:lang w:val="en-US" w:eastAsia="zh-CN"/>
        </w:rPr>
        <w:br w:type="textWrapping"/>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1、协商时间：2026年4月1日下午16时30分</w:t>
      </w:r>
    </w:p>
    <w:p w14:paraId="79A1E090">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2、协商方式：现场协商</w:t>
      </w:r>
    </w:p>
    <w:p w14:paraId="2341A319">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3、协商地点：六安市叶集区人民医院10楼会议室。</w:t>
      </w:r>
    </w:p>
    <w:p w14:paraId="60A3571B">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十三、</w:t>
      </w:r>
      <w:r>
        <w:rPr>
          <w:rFonts w:hint="eastAsia" w:ascii="仿宋" w:hAnsi="仿宋" w:eastAsia="仿宋" w:cs="仿宋"/>
          <w:b/>
          <w:bCs/>
          <w:color w:val="auto"/>
          <w:sz w:val="28"/>
          <w:szCs w:val="28"/>
          <w:highlight w:val="none"/>
        </w:rPr>
        <w:t>联系方式</w:t>
      </w:r>
    </w:p>
    <w:p w14:paraId="051997D3">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采购人：六安市叶集区人民医院（六安市第六人民医院）</w:t>
      </w:r>
    </w:p>
    <w:p w14:paraId="4B74F9E5">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联系地址：六安市叶集区兴叶大道与民强北路交叉口</w:t>
      </w:r>
    </w:p>
    <w:p w14:paraId="7B3F1D54">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联系电话：0564-6488599</w:t>
      </w:r>
    </w:p>
    <w:p w14:paraId="7C511467">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采购代理机构：安徽同方工程咨询有限公司 </w:t>
      </w:r>
    </w:p>
    <w:p w14:paraId="3BB2FE23">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 系 人：</w:t>
      </w:r>
      <w:r>
        <w:rPr>
          <w:rFonts w:hint="eastAsia" w:ascii="仿宋" w:hAnsi="仿宋" w:eastAsia="仿宋" w:cs="仿宋"/>
          <w:color w:val="auto"/>
          <w:sz w:val="28"/>
          <w:szCs w:val="28"/>
          <w:highlight w:val="none"/>
          <w:lang w:val="en-US" w:eastAsia="zh-CN"/>
        </w:rPr>
        <w:t>汪</w:t>
      </w:r>
      <w:r>
        <w:rPr>
          <w:rFonts w:hint="eastAsia" w:ascii="仿宋" w:hAnsi="仿宋" w:eastAsia="仿宋" w:cs="仿宋"/>
          <w:color w:val="auto"/>
          <w:sz w:val="28"/>
          <w:szCs w:val="28"/>
          <w:highlight w:val="none"/>
        </w:rPr>
        <w:t>工</w:t>
      </w:r>
    </w:p>
    <w:p w14:paraId="493EFC34">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联系地址：六安市东城路上东阳光城6号楼5楼</w:t>
      </w:r>
    </w:p>
    <w:p w14:paraId="5EED877A">
      <w:pPr>
        <w:keepNext w:val="0"/>
        <w:keepLines w:val="0"/>
        <w:pageBreakBefore w:val="0"/>
        <w:widowControl w:val="0"/>
        <w:kinsoku/>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联系电话：0564-3284233</w:t>
      </w:r>
    </w:p>
    <w:p w14:paraId="333D8C02">
      <w:pPr>
        <w:keepNext w:val="0"/>
        <w:keepLines w:val="0"/>
        <w:pageBreakBefore w:val="0"/>
        <w:widowControl w:val="0"/>
        <w:kinsoku/>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color w:val="auto"/>
          <w:sz w:val="28"/>
          <w:szCs w:val="28"/>
          <w:highlight w:val="none"/>
          <w:lang w:val="en-US" w:eastAsia="zh-CN"/>
        </w:rPr>
      </w:pPr>
    </w:p>
    <w:p w14:paraId="6E8BCACF">
      <w:pPr>
        <w:keepNext w:val="0"/>
        <w:keepLines w:val="0"/>
        <w:pageBreakBefore w:val="0"/>
        <w:widowControl w:val="0"/>
        <w:kinsoku/>
        <w:overflowPunct/>
        <w:topLinePunct w:val="0"/>
        <w:autoSpaceDE/>
        <w:autoSpaceDN/>
        <w:bidi w:val="0"/>
        <w:adjustRightInd/>
        <w:snapToGrid/>
        <w:spacing w:line="360" w:lineRule="auto"/>
        <w:ind w:firstLine="560" w:firstLineChars="200"/>
        <w:jc w:val="righ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27</w:t>
      </w:r>
      <w:r>
        <w:rPr>
          <w:rFonts w:hint="eastAsia" w:ascii="仿宋" w:hAnsi="仿宋" w:eastAsia="仿宋" w:cs="仿宋"/>
          <w:color w:val="auto"/>
          <w:sz w:val="28"/>
          <w:szCs w:val="28"/>
          <w:highlight w:val="none"/>
        </w:rPr>
        <w:t>日</w:t>
      </w:r>
    </w:p>
    <w:p w14:paraId="4650C371">
      <w:pPr>
        <w:rPr>
          <w:color w:val="auto"/>
          <w:highlight w:val="none"/>
        </w:rPr>
      </w:pPr>
    </w:p>
    <w:p w14:paraId="6C8611EB">
      <w:pPr>
        <w:rPr>
          <w:rFonts w:ascii="宋体" w:hAnsi="宋体" w:cs="宋体"/>
          <w:color w:val="auto"/>
          <w:sz w:val="24"/>
          <w:highlight w:val="none"/>
        </w:rPr>
      </w:pPr>
      <w:r>
        <w:rPr>
          <w:rFonts w:hint="eastAsia" w:ascii="宋体" w:hAnsi="宋体" w:cs="宋体"/>
          <w:color w:val="auto"/>
          <w:sz w:val="24"/>
          <w:highlight w:val="none"/>
        </w:rPr>
        <w:br w:type="page"/>
      </w:r>
    </w:p>
    <w:p w14:paraId="03A4B978">
      <w:pPr>
        <w:pStyle w:val="2"/>
        <w:bidi w:val="0"/>
        <w:ind w:left="0" w:firstLine="0"/>
        <w:rPr>
          <w:rFonts w:asciiTheme="minorEastAsia" w:hAnsiTheme="minorEastAsia" w:eastAsiaTheme="minorEastAsia" w:cstheme="minorEastAsia"/>
          <w:b/>
          <w:bCs/>
          <w:color w:val="auto"/>
          <w:kern w:val="0"/>
          <w:sz w:val="24"/>
          <w:highlight w:val="none"/>
          <w:u w:val="single"/>
        </w:rPr>
      </w:pPr>
      <w:bookmarkStart w:id="3" w:name="_Toc18216"/>
      <w:r>
        <w:rPr>
          <w:rFonts w:hint="eastAsia" w:ascii="Arial" w:hAnsi="Arial" w:eastAsia="宋体"/>
          <w:lang w:eastAsia="zh-CN"/>
        </w:rPr>
        <w:t>第一章 单一来源采购邀请书</w:t>
      </w:r>
      <w:bookmarkEnd w:id="0"/>
      <w:bookmarkEnd w:id="1"/>
      <w:bookmarkEnd w:id="3"/>
    </w:p>
    <w:p w14:paraId="163CD6C9">
      <w:pPr>
        <w:spacing w:line="800" w:lineRule="exac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u w:val="single"/>
        </w:rPr>
        <w:t>安徽朗宇医疗器械有限公司</w:t>
      </w:r>
      <w:r>
        <w:rPr>
          <w:rFonts w:hint="eastAsia" w:asciiTheme="minorEastAsia" w:hAnsiTheme="minorEastAsia" w:eastAsiaTheme="minorEastAsia" w:cstheme="minorEastAsia"/>
          <w:b/>
          <w:bCs/>
          <w:color w:val="auto"/>
          <w:kern w:val="0"/>
          <w:sz w:val="24"/>
          <w:highlight w:val="none"/>
        </w:rPr>
        <w:t>：</w:t>
      </w:r>
    </w:p>
    <w:p w14:paraId="69AC55B6">
      <w:pPr>
        <w:spacing w:line="800" w:lineRule="exact"/>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u w:val="single"/>
          <w:lang w:val="en-US" w:eastAsia="zh-CN"/>
        </w:rPr>
        <w:t>六安市叶集区人民医院（市六院）职业病系统采购项目</w:t>
      </w:r>
      <w:r>
        <w:rPr>
          <w:rFonts w:hint="eastAsia" w:asciiTheme="minorEastAsia" w:hAnsiTheme="minorEastAsia" w:eastAsiaTheme="minorEastAsia" w:cstheme="minorEastAsia"/>
          <w:color w:val="auto"/>
          <w:kern w:val="0"/>
          <w:sz w:val="24"/>
          <w:highlight w:val="none"/>
        </w:rPr>
        <w:t>采用单一来源方式进行采购，贵公司为本项目的唯一供应商。请贵公司按照本项目采购文件的要求，编制单一来源响应文件，在供应商须知前附表规定的递交截止时间前</w:t>
      </w:r>
      <w:r>
        <w:rPr>
          <w:rFonts w:hint="eastAsia" w:asciiTheme="minorEastAsia" w:hAnsiTheme="minorEastAsia" w:eastAsiaTheme="minorEastAsia" w:cstheme="minorEastAsia"/>
          <w:color w:val="auto"/>
          <w:kern w:val="0"/>
          <w:sz w:val="24"/>
          <w:highlight w:val="none"/>
          <w:lang w:val="en-US" w:eastAsia="zh-CN"/>
        </w:rPr>
        <w:t>现场</w:t>
      </w:r>
      <w:r>
        <w:rPr>
          <w:rFonts w:hint="eastAsia" w:asciiTheme="minorEastAsia" w:hAnsiTheme="minorEastAsia" w:eastAsiaTheme="minorEastAsia" w:cstheme="minorEastAsia"/>
          <w:color w:val="auto"/>
          <w:kern w:val="0"/>
          <w:sz w:val="24"/>
          <w:highlight w:val="none"/>
        </w:rPr>
        <w:t>递交，并就本项目的商务、技术和报价等有关问题，进行进一步的协商。</w:t>
      </w:r>
    </w:p>
    <w:p w14:paraId="5689EB78">
      <w:pPr>
        <w:spacing w:line="800" w:lineRule="exact"/>
        <w:rPr>
          <w:rFonts w:asciiTheme="minorEastAsia" w:hAnsiTheme="minorEastAsia" w:eastAsiaTheme="minorEastAsia" w:cstheme="minorEastAsia"/>
          <w:color w:val="auto"/>
          <w:kern w:val="0"/>
          <w:sz w:val="24"/>
          <w:highlight w:val="none"/>
        </w:rPr>
      </w:pPr>
    </w:p>
    <w:p w14:paraId="61EF2811">
      <w:pPr>
        <w:wordWrap w:val="0"/>
        <w:spacing w:line="800" w:lineRule="exact"/>
        <w:ind w:right="480" w:firstLine="3240" w:firstLineChars="1350"/>
        <w:jc w:val="righ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2026</w:t>
      </w:r>
      <w:r>
        <w:rPr>
          <w:rFonts w:hint="eastAsia" w:asciiTheme="minorEastAsia" w:hAnsiTheme="minorEastAsia" w:eastAsiaTheme="minorEastAsia" w:cstheme="minorEastAsia"/>
          <w:color w:val="auto"/>
          <w:kern w:val="0"/>
          <w:sz w:val="24"/>
          <w:highlight w:val="none"/>
        </w:rPr>
        <w:t>年</w:t>
      </w: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rPr>
        <w:t>月</w:t>
      </w:r>
      <w:r>
        <w:rPr>
          <w:rFonts w:hint="eastAsia" w:asciiTheme="minorEastAsia" w:hAnsiTheme="minorEastAsia" w:eastAsiaTheme="minorEastAsia" w:cstheme="minorEastAsia"/>
          <w:color w:val="auto"/>
          <w:kern w:val="0"/>
          <w:sz w:val="24"/>
          <w:highlight w:val="none"/>
          <w:lang w:val="en-US" w:eastAsia="zh-CN"/>
        </w:rPr>
        <w:t>27</w:t>
      </w:r>
      <w:r>
        <w:rPr>
          <w:rFonts w:hint="eastAsia" w:asciiTheme="minorEastAsia" w:hAnsiTheme="minorEastAsia" w:eastAsiaTheme="minorEastAsia" w:cstheme="minorEastAsia"/>
          <w:color w:val="auto"/>
          <w:kern w:val="0"/>
          <w:sz w:val="24"/>
          <w:highlight w:val="none"/>
        </w:rPr>
        <w:t>日</w:t>
      </w:r>
    </w:p>
    <w:p w14:paraId="59376D92">
      <w:pPr>
        <w:pStyle w:val="2"/>
        <w:bidi w:val="0"/>
        <w:ind w:left="0" w:firstLine="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bookmarkStart w:id="4" w:name="_Toc533314945"/>
      <w:bookmarkStart w:id="5" w:name="_Toc25424"/>
      <w:bookmarkStart w:id="6" w:name="_Toc18671550"/>
      <w:bookmarkStart w:id="7" w:name="_Toc16033"/>
      <w:r>
        <w:rPr>
          <w:rFonts w:hint="eastAsia" w:ascii="Arial" w:hAnsi="Arial" w:eastAsia="宋体"/>
          <w:lang w:eastAsia="zh-CN"/>
        </w:rPr>
        <w:t xml:space="preserve">第二章  </w:t>
      </w:r>
      <w:bookmarkEnd w:id="4"/>
      <w:bookmarkStart w:id="8" w:name="_Toc533314946"/>
      <w:bookmarkStart w:id="9" w:name="_Toc272163828"/>
      <w:r>
        <w:rPr>
          <w:rFonts w:hint="eastAsia" w:ascii="Arial" w:hAnsi="Arial" w:eastAsia="宋体"/>
          <w:lang w:eastAsia="zh-CN"/>
        </w:rPr>
        <w:t>供应商须知前附表</w:t>
      </w:r>
      <w:bookmarkEnd w:id="5"/>
      <w:bookmarkEnd w:id="6"/>
      <w:bookmarkEnd w:id="7"/>
    </w:p>
    <w:bookmarkEnd w:id="8"/>
    <w:bookmarkEnd w:id="9"/>
    <w:tbl>
      <w:tblPr>
        <w:tblStyle w:val="18"/>
        <w:tblW w:w="90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710"/>
        <w:gridCol w:w="1234"/>
        <w:gridCol w:w="7135"/>
      </w:tblGrid>
      <w:tr w14:paraId="20B046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486" w:hRule="atLeast"/>
          <w:jc w:val="center"/>
        </w:trPr>
        <w:tc>
          <w:tcPr>
            <w:tcW w:w="710" w:type="dxa"/>
            <w:vAlign w:val="center"/>
          </w:tcPr>
          <w:p w14:paraId="3C8757EB">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8369" w:type="dxa"/>
            <w:gridSpan w:val="2"/>
            <w:vAlign w:val="center"/>
          </w:tcPr>
          <w:p w14:paraId="23AD4989">
            <w:pPr>
              <w:spacing w:line="48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      容</w:t>
            </w:r>
          </w:p>
        </w:tc>
      </w:tr>
      <w:tr w14:paraId="0DD647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73693044">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8369" w:type="dxa"/>
            <w:gridSpan w:val="2"/>
            <w:vAlign w:val="center"/>
          </w:tcPr>
          <w:p w14:paraId="75F45720">
            <w:pPr>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项目名称：六安市叶集区人民医院（市六院）职业病系统采购项目</w:t>
            </w:r>
          </w:p>
          <w:p w14:paraId="309BCEAB">
            <w:pPr>
              <w:spacing w:line="480" w:lineRule="exac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编号：</w:t>
            </w:r>
            <w:r>
              <w:rPr>
                <w:rFonts w:hint="eastAsia" w:asciiTheme="minorEastAsia" w:hAnsiTheme="minorEastAsia" w:eastAsiaTheme="minorEastAsia" w:cstheme="minorEastAsia"/>
                <w:color w:val="auto"/>
                <w:sz w:val="24"/>
                <w:highlight w:val="none"/>
                <w:lang w:val="en-US" w:eastAsia="zh-CN"/>
              </w:rPr>
              <w:t>LASYJQRMYY-XXK2026-08</w:t>
            </w:r>
          </w:p>
          <w:p w14:paraId="6F2F0E7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项目预算：</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bCs/>
                <w:color w:val="auto"/>
                <w:sz w:val="24"/>
                <w:highlight w:val="none"/>
              </w:rPr>
              <w:t>万元</w:t>
            </w:r>
          </w:p>
        </w:tc>
      </w:tr>
      <w:tr w14:paraId="01971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53" w:hRule="atLeast"/>
          <w:jc w:val="center"/>
        </w:trPr>
        <w:tc>
          <w:tcPr>
            <w:tcW w:w="710" w:type="dxa"/>
            <w:vAlign w:val="center"/>
          </w:tcPr>
          <w:p w14:paraId="0642689B">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8369" w:type="dxa"/>
            <w:gridSpan w:val="2"/>
            <w:vAlign w:val="center"/>
          </w:tcPr>
          <w:p w14:paraId="567BE743">
            <w:pPr>
              <w:spacing w:line="480" w:lineRule="exac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bCs/>
                <w:color w:val="auto"/>
                <w:sz w:val="24"/>
                <w:highlight w:val="none"/>
              </w:rPr>
              <w:t>采购人名称：</w:t>
            </w:r>
            <w:r>
              <w:rPr>
                <w:rFonts w:hint="eastAsia" w:asciiTheme="minorEastAsia" w:hAnsiTheme="minorEastAsia" w:eastAsiaTheme="minorEastAsia" w:cstheme="minorEastAsia"/>
                <w:bCs/>
                <w:color w:val="auto"/>
                <w:sz w:val="24"/>
                <w:highlight w:val="none"/>
                <w:lang w:val="en-US" w:eastAsia="zh-CN"/>
              </w:rPr>
              <w:t>六安市叶集区人民医院（六安市第六人民医院）</w:t>
            </w:r>
          </w:p>
          <w:p w14:paraId="4E4003B5">
            <w:pPr>
              <w:spacing w:line="480" w:lineRule="exact"/>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地      址：六安市叶集区兴叶大道与民强北路交叉口</w:t>
            </w:r>
            <w:r>
              <w:rPr>
                <w:rFonts w:hint="eastAsia" w:ascii="宋体" w:hAnsi="宋体" w:cs="宋体"/>
                <w:color w:val="auto"/>
                <w:sz w:val="24"/>
                <w:highlight w:val="none"/>
              </w:rPr>
              <w:t xml:space="preserve">       </w:t>
            </w:r>
          </w:p>
          <w:p w14:paraId="1E3BF0C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联 系 方式：0564-6488599  </w:t>
            </w:r>
          </w:p>
        </w:tc>
      </w:tr>
      <w:tr w14:paraId="54217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406" w:hRule="atLeast"/>
          <w:jc w:val="center"/>
        </w:trPr>
        <w:tc>
          <w:tcPr>
            <w:tcW w:w="710" w:type="dxa"/>
            <w:vAlign w:val="center"/>
          </w:tcPr>
          <w:p w14:paraId="73F93F2B">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369" w:type="dxa"/>
            <w:gridSpan w:val="2"/>
            <w:vAlign w:val="center"/>
          </w:tcPr>
          <w:p w14:paraId="42342B43">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代理机构名称：安徽同方工程咨询有限公司</w:t>
            </w:r>
            <w:r>
              <w:rPr>
                <w:rFonts w:asciiTheme="minorEastAsia" w:hAnsiTheme="minorEastAsia" w:eastAsiaTheme="minorEastAsia" w:cstheme="minorEastAsia"/>
                <w:bCs/>
                <w:color w:val="auto"/>
                <w:sz w:val="24"/>
                <w:highlight w:val="none"/>
              </w:rPr>
              <w:t xml:space="preserve"> </w:t>
            </w:r>
          </w:p>
          <w:p w14:paraId="1034226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址：六安市东城路上东阳光城6号楼5楼</w:t>
            </w:r>
            <w:r>
              <w:rPr>
                <w:rFonts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 xml:space="preserve">          </w:t>
            </w:r>
          </w:p>
          <w:p w14:paraId="48843594">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 系 方 式：0564-3284233</w:t>
            </w:r>
          </w:p>
        </w:tc>
      </w:tr>
      <w:tr w14:paraId="01CC3D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3" w:hRule="atLeast"/>
          <w:jc w:val="center"/>
        </w:trPr>
        <w:tc>
          <w:tcPr>
            <w:tcW w:w="710" w:type="dxa"/>
            <w:vAlign w:val="center"/>
          </w:tcPr>
          <w:p w14:paraId="7ADEF06C">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14:paraId="62EAFC1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项目类别：服务类</w:t>
            </w:r>
          </w:p>
        </w:tc>
      </w:tr>
      <w:tr w14:paraId="452E8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603" w:hRule="atLeast"/>
          <w:jc w:val="center"/>
        </w:trPr>
        <w:tc>
          <w:tcPr>
            <w:tcW w:w="710" w:type="dxa"/>
            <w:vAlign w:val="center"/>
          </w:tcPr>
          <w:p w14:paraId="59BFFA14">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8369" w:type="dxa"/>
            <w:gridSpan w:val="2"/>
            <w:vAlign w:val="center"/>
          </w:tcPr>
          <w:p w14:paraId="1710A372">
            <w:pPr>
              <w:spacing w:line="48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服务时限：合同签订生效后30个日历天内，供应商须完成系统的开发、安装、调试，并达到可正式交付使用的状态。</w:t>
            </w:r>
          </w:p>
        </w:tc>
      </w:tr>
      <w:tr w14:paraId="2E8E3E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5" w:hRule="atLeast"/>
          <w:jc w:val="center"/>
        </w:trPr>
        <w:tc>
          <w:tcPr>
            <w:tcW w:w="710" w:type="dxa"/>
            <w:vAlign w:val="center"/>
          </w:tcPr>
          <w:p w14:paraId="44624BE5">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p>
        </w:tc>
        <w:tc>
          <w:tcPr>
            <w:tcW w:w="1234" w:type="dxa"/>
            <w:vAlign w:val="center"/>
          </w:tcPr>
          <w:p w14:paraId="79FFE8AD">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w:t>
            </w:r>
          </w:p>
        </w:tc>
        <w:tc>
          <w:tcPr>
            <w:tcW w:w="7135" w:type="dxa"/>
            <w:vAlign w:val="center"/>
          </w:tcPr>
          <w:p w14:paraId="0C8ED945">
            <w:pPr>
              <w:spacing w:line="480" w:lineRule="exact"/>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验收合格后30日历天内，采购人支付合同价款的100%。</w:t>
            </w:r>
            <w:r>
              <w:rPr>
                <w:rFonts w:hint="eastAsia" w:asciiTheme="minorEastAsia" w:hAnsiTheme="minorEastAsia" w:eastAsiaTheme="minorEastAsia" w:cstheme="minorEastAsia"/>
                <w:color w:val="auto"/>
                <w:sz w:val="24"/>
                <w:highlight w:val="none"/>
                <w:lang w:val="en-US" w:eastAsia="zh-CN"/>
              </w:rPr>
              <w:br w:type="textWrapping"/>
            </w:r>
            <w:r>
              <w:rPr>
                <w:rFonts w:hint="eastAsia" w:asciiTheme="minorEastAsia" w:hAnsiTheme="minorEastAsia" w:eastAsiaTheme="minorEastAsia" w:cstheme="minorEastAsia"/>
                <w:b/>
                <w:bCs/>
                <w:color w:val="auto"/>
                <w:sz w:val="24"/>
                <w:highlight w:val="none"/>
              </w:rPr>
              <w:t>（供应商提交的响应文件中如有关于付款条件的表述与单一来源文</w:t>
            </w:r>
          </w:p>
          <w:p w14:paraId="308E6858">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件规定不符，将被视为实质性不响应，将导致响应无效）</w:t>
            </w:r>
          </w:p>
        </w:tc>
      </w:tr>
      <w:tr w14:paraId="0485E9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4A149175">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p>
        </w:tc>
        <w:tc>
          <w:tcPr>
            <w:tcW w:w="8369" w:type="dxa"/>
            <w:gridSpan w:val="2"/>
            <w:vAlign w:val="center"/>
          </w:tcPr>
          <w:p w14:paraId="16AC5827">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履约保证金：1、成交供应商在签订合同时应向采购人提交合同总价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%的履约保证金（最高缴纳比例不得超过合同金额的2.5%）。</w:t>
            </w:r>
          </w:p>
          <w:p w14:paraId="0EDBB988">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2、成交供应商可以通过转账、网银支付、汇票、支票、保证保险、担保保函、银行履约保函等方式提交履约保证金。</w:t>
            </w:r>
          </w:p>
          <w:p w14:paraId="359F3F50">
            <w:pPr>
              <w:pStyle w:val="16"/>
              <w:spacing w:after="0" w:line="480" w:lineRule="exact"/>
              <w:ind w:firstLine="0"/>
              <w:rPr>
                <w:color w:val="auto"/>
                <w:highlight w:val="none"/>
              </w:rPr>
            </w:pPr>
            <w:r>
              <w:rPr>
                <w:rFonts w:hint="eastAsia"/>
                <w:color w:val="auto"/>
                <w:highlight w:val="none"/>
              </w:rPr>
              <w:t>3、项目验收结束后应及时退还履约保证金。</w:t>
            </w:r>
          </w:p>
        </w:tc>
      </w:tr>
      <w:tr w14:paraId="1FB6D0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710" w:type="dxa"/>
            <w:vAlign w:val="center"/>
          </w:tcPr>
          <w:p w14:paraId="0CE14431">
            <w:pPr>
              <w:spacing w:line="48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8369" w:type="dxa"/>
            <w:gridSpan w:val="2"/>
            <w:vAlign w:val="center"/>
          </w:tcPr>
          <w:p w14:paraId="1B3DB8E0">
            <w:pPr>
              <w:spacing w:line="48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响应有效期：公示结束60日内。</w:t>
            </w:r>
          </w:p>
        </w:tc>
      </w:tr>
      <w:tr w14:paraId="24963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4D91CB39">
            <w:pPr>
              <w:spacing w:line="480" w:lineRule="exact"/>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8369" w:type="dxa"/>
            <w:gridSpan w:val="2"/>
            <w:vAlign w:val="center"/>
          </w:tcPr>
          <w:p w14:paraId="1F5CD20C">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勘察现场</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请各供应商联系采购单位自行勘踏。 </w:t>
            </w:r>
          </w:p>
        </w:tc>
      </w:tr>
      <w:tr w14:paraId="1114D2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7DF709AD">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8369" w:type="dxa"/>
            <w:gridSpan w:val="2"/>
            <w:vAlign w:val="center"/>
          </w:tcPr>
          <w:p w14:paraId="3B521C2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单一来源采购响应文件份数及要求：正本1份、副本</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份，胶装成册、密封提交。</w:t>
            </w:r>
          </w:p>
        </w:tc>
      </w:tr>
      <w:tr w14:paraId="657878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793" w:hRule="atLeast"/>
          <w:jc w:val="center"/>
        </w:trPr>
        <w:tc>
          <w:tcPr>
            <w:tcW w:w="710" w:type="dxa"/>
            <w:vAlign w:val="center"/>
          </w:tcPr>
          <w:p w14:paraId="6B52BFD5">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8369" w:type="dxa"/>
            <w:gridSpan w:val="2"/>
            <w:vAlign w:val="center"/>
          </w:tcPr>
          <w:p w14:paraId="5922821E">
            <w:pPr>
              <w:pStyle w:val="31"/>
              <w:pBdr>
                <w:bottom w:val="none" w:color="auto" w:sz="0" w:space="0"/>
              </w:pBdr>
              <w:tabs>
                <w:tab w:val="left" w:pos="420"/>
              </w:tabs>
              <w:adjustRightInd/>
              <w:spacing w:line="46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质疑与答疑：1、供应商如果对采购文件内容有相关疑问，可以发邮件向采购代理机构提出（疑问文件以文档形式提供，如WORD文档等）。代理机构邮箱地址为1610920774@qq.com；</w:t>
            </w:r>
          </w:p>
          <w:p w14:paraId="3DDB9B7B">
            <w:pPr>
              <w:spacing w:line="480" w:lineRule="exact"/>
              <w:rPr>
                <w:rFonts w:hint="eastAsia" w:eastAsia="宋体" w:asciiTheme="minorEastAsia" w:hAnsiTheme="minorEastAsia" w:cstheme="minorEastAsia"/>
                <w:color w:val="auto"/>
                <w:sz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2、提交成功后疑问文件即传至采购人（采购代理机构），后续答疑以书面形式通知。</w:t>
            </w:r>
          </w:p>
        </w:tc>
      </w:tr>
      <w:tr w14:paraId="71D95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364" w:hRule="atLeast"/>
          <w:jc w:val="center"/>
        </w:trPr>
        <w:tc>
          <w:tcPr>
            <w:tcW w:w="710" w:type="dxa"/>
            <w:vAlign w:val="center"/>
          </w:tcPr>
          <w:p w14:paraId="3DD31A94">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8369" w:type="dxa"/>
            <w:gridSpan w:val="2"/>
            <w:vAlign w:val="center"/>
          </w:tcPr>
          <w:p w14:paraId="6E4EC9EC">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协商时间及方式：</w:t>
            </w:r>
          </w:p>
          <w:p w14:paraId="5CB7A03B">
            <w:pPr>
              <w:spacing w:line="480" w:lineRule="exact"/>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rPr>
              <w:t>1、协商时间：</w:t>
            </w:r>
            <w:r>
              <w:rPr>
                <w:rFonts w:hint="eastAsia" w:asciiTheme="minorEastAsia" w:hAnsiTheme="minorEastAsia" w:eastAsiaTheme="minorEastAsia" w:cstheme="minorEastAsia"/>
                <w:bCs/>
                <w:color w:val="auto"/>
                <w:sz w:val="24"/>
                <w:highlight w:val="none"/>
                <w:u w:val="none"/>
                <w:lang w:val="en-US" w:eastAsia="zh-CN"/>
              </w:rPr>
              <w:t>2026</w:t>
            </w:r>
            <w:r>
              <w:rPr>
                <w:rFonts w:hint="eastAsia" w:asciiTheme="minorEastAsia" w:hAnsiTheme="minorEastAsia" w:eastAsiaTheme="minorEastAsia" w:cstheme="minorEastAsia"/>
                <w:bCs/>
                <w:color w:val="auto"/>
                <w:sz w:val="24"/>
                <w:highlight w:val="none"/>
                <w:u w:val="none"/>
              </w:rPr>
              <w:t>年</w:t>
            </w:r>
            <w:r>
              <w:rPr>
                <w:rFonts w:hint="eastAsia" w:asciiTheme="minorEastAsia" w:hAnsiTheme="minorEastAsia" w:eastAsiaTheme="minorEastAsia" w:cstheme="minorEastAsia"/>
                <w:bCs/>
                <w:color w:val="auto"/>
                <w:sz w:val="24"/>
                <w:highlight w:val="none"/>
                <w:u w:val="none"/>
                <w:lang w:val="en-US" w:eastAsia="zh-CN"/>
              </w:rPr>
              <w:t>4</w:t>
            </w:r>
            <w:r>
              <w:rPr>
                <w:rFonts w:hint="eastAsia" w:asciiTheme="minorEastAsia" w:hAnsiTheme="minorEastAsia" w:eastAsiaTheme="minorEastAsia" w:cstheme="minorEastAsia"/>
                <w:bCs/>
                <w:color w:val="auto"/>
                <w:sz w:val="24"/>
                <w:highlight w:val="none"/>
                <w:u w:val="none"/>
              </w:rPr>
              <w:t>月</w:t>
            </w:r>
            <w:r>
              <w:rPr>
                <w:rFonts w:hint="eastAsia" w:asciiTheme="minorEastAsia" w:hAnsiTheme="minorEastAsia" w:eastAsiaTheme="minorEastAsia" w:cstheme="minorEastAsia"/>
                <w:bCs/>
                <w:color w:val="auto"/>
                <w:sz w:val="24"/>
                <w:highlight w:val="none"/>
                <w:u w:val="none"/>
                <w:lang w:val="en-US" w:eastAsia="zh-CN"/>
              </w:rPr>
              <w:t>1</w:t>
            </w:r>
            <w:r>
              <w:rPr>
                <w:rFonts w:hint="eastAsia" w:asciiTheme="minorEastAsia" w:hAnsiTheme="minorEastAsia" w:eastAsiaTheme="minorEastAsia" w:cstheme="minorEastAsia"/>
                <w:bCs/>
                <w:color w:val="auto"/>
                <w:sz w:val="24"/>
                <w:highlight w:val="none"/>
                <w:u w:val="none"/>
              </w:rPr>
              <w:t>日</w:t>
            </w:r>
            <w:r>
              <w:rPr>
                <w:rFonts w:hint="eastAsia" w:asciiTheme="minorEastAsia" w:hAnsiTheme="minorEastAsia" w:eastAsiaTheme="minorEastAsia" w:cstheme="minorEastAsia"/>
                <w:bCs/>
                <w:color w:val="auto"/>
                <w:sz w:val="24"/>
                <w:highlight w:val="none"/>
                <w:u w:val="none"/>
                <w:lang w:val="en-US" w:eastAsia="zh-CN"/>
              </w:rPr>
              <w:t>下</w:t>
            </w:r>
            <w:r>
              <w:rPr>
                <w:rFonts w:hint="eastAsia" w:asciiTheme="minorEastAsia" w:hAnsiTheme="minorEastAsia" w:eastAsiaTheme="minorEastAsia" w:cstheme="minorEastAsia"/>
                <w:bCs/>
                <w:color w:val="auto"/>
                <w:sz w:val="24"/>
                <w:highlight w:val="none"/>
              </w:rPr>
              <w:t>午</w:t>
            </w:r>
            <w:r>
              <w:rPr>
                <w:rFonts w:hint="eastAsia" w:asciiTheme="minorEastAsia" w:hAnsiTheme="minorEastAsia" w:eastAsiaTheme="minorEastAsia" w:cstheme="minorEastAsia"/>
                <w:bCs/>
                <w:color w:val="auto"/>
                <w:sz w:val="24"/>
                <w:highlight w:val="none"/>
                <w:u w:val="none"/>
                <w:lang w:val="en-US" w:eastAsia="zh-CN"/>
              </w:rPr>
              <w:t>16时</w:t>
            </w:r>
            <w:r>
              <w:rPr>
                <w:rFonts w:hint="eastAsia" w:asciiTheme="minorEastAsia" w:hAnsiTheme="minorEastAsia" w:eastAsiaTheme="minorEastAsia" w:cstheme="minorEastAsia"/>
                <w:bCs/>
                <w:color w:val="auto"/>
                <w:sz w:val="24"/>
                <w:highlight w:val="none"/>
                <w:lang w:val="en-US" w:eastAsia="zh-CN"/>
              </w:rPr>
              <w:t>30分</w:t>
            </w:r>
          </w:p>
          <w:p w14:paraId="7E51BF3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2、协商方式：</w:t>
            </w:r>
            <w:r>
              <w:rPr>
                <w:rFonts w:hint="eastAsia" w:asciiTheme="minorEastAsia" w:hAnsiTheme="minorEastAsia" w:eastAsiaTheme="minorEastAsia" w:cstheme="minorEastAsia"/>
                <w:bCs/>
                <w:color w:val="auto"/>
                <w:sz w:val="24"/>
                <w:highlight w:val="none"/>
                <w:lang w:val="en-US" w:eastAsia="zh-CN"/>
              </w:rPr>
              <w:t>现场</w:t>
            </w:r>
            <w:r>
              <w:rPr>
                <w:rFonts w:hint="eastAsia" w:asciiTheme="minorEastAsia" w:hAnsiTheme="minorEastAsia" w:eastAsiaTheme="minorEastAsia" w:cstheme="minorEastAsia"/>
                <w:bCs/>
                <w:color w:val="auto"/>
                <w:sz w:val="24"/>
                <w:highlight w:val="none"/>
              </w:rPr>
              <w:t>协商</w:t>
            </w:r>
          </w:p>
        </w:tc>
      </w:tr>
      <w:tr w14:paraId="4F2784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4C3BF72B">
            <w:pPr>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8369" w:type="dxa"/>
            <w:gridSpan w:val="2"/>
            <w:vAlign w:val="center"/>
          </w:tcPr>
          <w:p w14:paraId="638B13D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响应文件递交截止时间：同本项目协商时间。</w:t>
            </w:r>
          </w:p>
        </w:tc>
      </w:tr>
      <w:tr w14:paraId="14F76F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2E419074">
            <w:pPr>
              <w:spacing w:line="480" w:lineRule="exact"/>
              <w:jc w:val="center"/>
              <w:rPr>
                <w:rFonts w:hint="eastAsia" w:asciiTheme="minorEastAsia" w:hAnsiTheme="minorEastAsia" w:eastAsiaTheme="minorEastAsia" w:cstheme="minorEastAsia"/>
                <w:color w:val="auto"/>
                <w:sz w:val="24"/>
                <w:highlight w:val="none"/>
                <w:lang w:eastAsia="zh-CN"/>
              </w:rPr>
            </w:pPr>
            <w:bookmarkStart w:id="10" w:name="_Hlk450145192"/>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p>
        </w:tc>
        <w:tc>
          <w:tcPr>
            <w:tcW w:w="8369" w:type="dxa"/>
            <w:gridSpan w:val="2"/>
            <w:vAlign w:val="center"/>
          </w:tcPr>
          <w:p w14:paraId="3BF9F30C">
            <w:pPr>
              <w:pStyle w:val="31"/>
              <w:numPr>
                <w:ilvl w:val="0"/>
                <w:numId w:val="1"/>
              </w:numPr>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存在以下不良信用记录情形之一的，不得推荐为成交候选供应商：</w:t>
            </w:r>
          </w:p>
          <w:p w14:paraId="733E6535">
            <w:pPr>
              <w:pStyle w:val="3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14:paraId="44DD1AA9">
            <w:pPr>
              <w:pStyle w:val="3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（2）供应商被市场监督管理部门列入企业经营异常名录的；</w:t>
            </w:r>
          </w:p>
          <w:p w14:paraId="591F3D17">
            <w:pPr>
              <w:pStyle w:val="3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14:paraId="3894F929">
            <w:pPr>
              <w:pStyle w:val="3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（4）供应商被政府采购监管部门列入政府采购严重违法失信行为记录名单的。</w:t>
            </w:r>
          </w:p>
          <w:p w14:paraId="5CDBECE3">
            <w:pPr>
              <w:pStyle w:val="3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2、联合体供应商，联合体任何一方存在上述不良信用记录的，视同联合体存在不良信用记录。</w:t>
            </w:r>
          </w:p>
          <w:p w14:paraId="19B99FB8">
            <w:pPr>
              <w:pStyle w:val="3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3、不良信用记录查询渠道如下：</w:t>
            </w:r>
          </w:p>
          <w:p w14:paraId="6136CFD8">
            <w:pPr>
              <w:pStyle w:val="3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14:paraId="5FE7829A">
            <w:pPr>
              <w:pStyle w:val="3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14:paraId="0C4C6C78">
            <w:pPr>
              <w:pStyle w:val="3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p w14:paraId="482063F1">
            <w:pPr>
              <w:pStyle w:val="31"/>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（4）政府采购严重违法失信行为记录名单：中国政府采购官网（www.ccgp.gov.cn）</w:t>
            </w:r>
          </w:p>
          <w:p w14:paraId="426127BD">
            <w:pPr>
              <w:spacing w:line="480" w:lineRule="exact"/>
              <w:rPr>
                <w:rFonts w:asciiTheme="minorEastAsia" w:hAnsiTheme="minorEastAsia" w:eastAsiaTheme="minorEastAsia" w:cstheme="minorEastAsia"/>
                <w:color w:val="auto"/>
                <w:sz w:val="24"/>
                <w:highlight w:val="none"/>
              </w:rPr>
            </w:pPr>
            <w:r>
              <w:rPr>
                <w:rFonts w:hint="eastAsia" w:ascii="宋体" w:hAnsi="宋体"/>
                <w:bCs/>
                <w:color w:val="auto"/>
                <w:kern w:val="2"/>
                <w:szCs w:val="24"/>
                <w:highlight w:val="none"/>
              </w:rPr>
              <w:t>4</w:t>
            </w:r>
            <w:r>
              <w:rPr>
                <w:rFonts w:hint="eastAsia" w:ascii="宋体" w:hAnsi="宋体" w:eastAsia="宋体" w:cs="Times New Roman"/>
                <w:bCs/>
                <w:color w:val="auto"/>
                <w:kern w:val="2"/>
                <w:sz w:val="24"/>
                <w:szCs w:val="24"/>
                <w:highlight w:val="none"/>
                <w:lang w:val="en-US" w:eastAsia="zh-CN" w:bidi="ar-SA"/>
              </w:rPr>
              <w:t>、联合体投标的，所有联合体成员均须加盖公章后制成扫描件上传。如有虚假，采购人将取消其成交资格并上报相关监督管理部门按有关规定处理。</w:t>
            </w:r>
          </w:p>
        </w:tc>
      </w:tr>
      <w:tr w14:paraId="24FAE1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579" w:hRule="atLeast"/>
          <w:jc w:val="center"/>
        </w:trPr>
        <w:tc>
          <w:tcPr>
            <w:tcW w:w="710" w:type="dxa"/>
            <w:vAlign w:val="center"/>
          </w:tcPr>
          <w:p w14:paraId="2D011F32">
            <w:pPr>
              <w:spacing w:line="48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8369" w:type="dxa"/>
            <w:gridSpan w:val="2"/>
            <w:vAlign w:val="center"/>
          </w:tcPr>
          <w:p w14:paraId="41AAA45A">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递交响应文件注意事项：响应文件必须在询价截止时间前递交。</w:t>
            </w:r>
          </w:p>
        </w:tc>
      </w:tr>
      <w:tr w14:paraId="578C3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1" w:type="dxa"/>
            <w:bottom w:w="0" w:type="dxa"/>
            <w:right w:w="51" w:type="dxa"/>
          </w:tblCellMar>
        </w:tblPrEx>
        <w:trPr>
          <w:trHeight w:val="1284" w:hRule="atLeast"/>
          <w:jc w:val="center"/>
        </w:trPr>
        <w:tc>
          <w:tcPr>
            <w:tcW w:w="710" w:type="dxa"/>
            <w:vAlign w:val="center"/>
          </w:tcPr>
          <w:p w14:paraId="71FA7108">
            <w:pPr>
              <w:tabs>
                <w:tab w:val="left" w:pos="441"/>
              </w:tabs>
              <w:spacing w:line="48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16</w:t>
            </w:r>
          </w:p>
        </w:tc>
        <w:tc>
          <w:tcPr>
            <w:tcW w:w="8369" w:type="dxa"/>
            <w:gridSpan w:val="2"/>
            <w:vAlign w:val="center"/>
          </w:tcPr>
          <w:p w14:paraId="079A1092">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1、支付方</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 xml:space="preserve">采购人  </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zh-CN"/>
              </w:rPr>
              <w:t>成交供应商</w:t>
            </w:r>
          </w:p>
          <w:p w14:paraId="34912F95">
            <w:pPr>
              <w:spacing w:line="500" w:lineRule="exact"/>
              <w:jc w:val="left"/>
              <w:rPr>
                <w:rFonts w:hint="default"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2、收费标准：</w:t>
            </w:r>
            <w:r>
              <w:rPr>
                <w:rFonts w:hint="eastAsia" w:ascii="宋体" w:hAnsi="宋体" w:cs="宋体"/>
                <w:b w:val="0"/>
                <w:bCs w:val="0"/>
                <w:color w:val="auto"/>
                <w:sz w:val="24"/>
                <w:highlight w:val="none"/>
                <w:lang w:val="en-US" w:eastAsia="zh-CN"/>
              </w:rPr>
              <w:t>本项目为固定收费3500.00元。</w:t>
            </w:r>
          </w:p>
          <w:p w14:paraId="3E89107F">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3、收取方式：</w:t>
            </w:r>
            <w:r>
              <w:rPr>
                <w:rFonts w:hint="eastAsia" w:ascii="宋体" w:hAnsi="宋体" w:eastAsia="宋体" w:cs="宋体"/>
                <w:b w:val="0"/>
                <w:bCs w:val="0"/>
                <w:color w:val="auto"/>
                <w:sz w:val="24"/>
                <w:highlight w:val="none"/>
                <w:lang w:val="en-US" w:eastAsia="zh-CN"/>
              </w:rPr>
              <w:t>银行转账。</w:t>
            </w:r>
          </w:p>
          <w:p w14:paraId="6A26A041">
            <w:pPr>
              <w:spacing w:line="5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4、代理服务费缴纳账户：</w:t>
            </w:r>
          </w:p>
          <w:p w14:paraId="11622707">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户名：安徽同方工程咨询有限公司 </w:t>
            </w:r>
          </w:p>
          <w:p w14:paraId="4AD86D74">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开户行：徽商银行六安解放路恒源支行 </w:t>
            </w:r>
          </w:p>
          <w:p w14:paraId="2E6D789B">
            <w:pPr>
              <w:spacing w:line="5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账号：000000602003900000243</w:t>
            </w:r>
          </w:p>
          <w:p w14:paraId="2E377F3A">
            <w:pPr>
              <w:pStyle w:val="16"/>
              <w:ind w:left="0" w:leftChars="0" w:firstLine="0" w:firstLineChars="0"/>
              <w:rPr>
                <w:rFonts w:hint="eastAsia" w:ascii="Times New Roman" w:hAnsi="Times New Roman"/>
                <w:b w:val="0"/>
                <w:bCs w:val="0"/>
                <w:color w:val="auto"/>
                <w:highlight w:val="none"/>
                <w:lang w:val="en-US" w:eastAsia="zh-CN"/>
              </w:rPr>
            </w:pPr>
            <w:r>
              <w:rPr>
                <w:rFonts w:hint="eastAsia" w:ascii="宋体" w:hAnsi="宋体" w:eastAsia="宋体" w:cs="宋体"/>
                <w:b/>
                <w:bCs/>
                <w:color w:val="auto"/>
                <w:sz w:val="24"/>
                <w:highlight w:val="none"/>
                <w:lang w:val="en-US" w:eastAsia="zh-CN"/>
              </w:rPr>
              <w:t>5、代理服务费详见成交结果公告；代理服务费须从成交供应商账户转出，并备注项目名称。</w:t>
            </w:r>
          </w:p>
        </w:tc>
      </w:tr>
    </w:tbl>
    <w:p w14:paraId="145FB7C6">
      <w:pPr>
        <w:pStyle w:val="27"/>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bookmarkStart w:id="11" w:name="_Toc533314947"/>
      <w:bookmarkStart w:id="12" w:name="_Toc272163829"/>
    </w:p>
    <w:p w14:paraId="07126A19">
      <w:pPr>
        <w:pStyle w:val="2"/>
        <w:bidi w:val="0"/>
        <w:ind w:left="0" w:firstLine="0"/>
        <w:rPr>
          <w:rFonts w:ascii="宋体" w:hAnsi="宋体" w:eastAsia="宋体" w:cs="宋体"/>
          <w:color w:val="auto"/>
          <w:sz w:val="24"/>
          <w:szCs w:val="24"/>
          <w:highlight w:val="none"/>
        </w:rPr>
      </w:pPr>
      <w:bookmarkStart w:id="13" w:name="_Toc18671555"/>
      <w:bookmarkStart w:id="14" w:name="_Toc11917"/>
      <w:bookmarkStart w:id="15" w:name="_Toc31112"/>
      <w:r>
        <w:rPr>
          <w:rFonts w:hint="eastAsia" w:ascii="Arial" w:hAnsi="Arial" w:eastAsia="宋体"/>
          <w:lang w:eastAsia="zh-CN"/>
        </w:rPr>
        <w:t>第三章  供应商须知</w:t>
      </w:r>
      <w:bookmarkEnd w:id="10"/>
      <w:bookmarkEnd w:id="11"/>
      <w:bookmarkEnd w:id="12"/>
      <w:bookmarkEnd w:id="13"/>
      <w:bookmarkEnd w:id="14"/>
      <w:bookmarkEnd w:id="15"/>
    </w:p>
    <w:p w14:paraId="5A3F7123">
      <w:pPr>
        <w:pStyle w:val="3"/>
        <w:spacing w:before="120" w:beforeLines="50" w:after="120" w:afterLines="50" w:line="500" w:lineRule="exact"/>
        <w:jc w:val="center"/>
        <w:rPr>
          <w:rFonts w:ascii="宋体" w:hAnsi="宋体" w:eastAsia="宋体" w:cs="宋体"/>
          <w:color w:val="auto"/>
          <w:sz w:val="24"/>
          <w:szCs w:val="24"/>
          <w:highlight w:val="none"/>
        </w:rPr>
      </w:pPr>
      <w:bookmarkStart w:id="16" w:name="_Toc18671556"/>
      <w:bookmarkStart w:id="17" w:name="_Toc2350"/>
      <w:r>
        <w:rPr>
          <w:rFonts w:hint="eastAsia" w:ascii="宋体" w:hAnsi="宋体" w:eastAsia="宋体" w:cs="宋体"/>
          <w:color w:val="auto"/>
          <w:sz w:val="24"/>
          <w:szCs w:val="24"/>
          <w:highlight w:val="none"/>
        </w:rPr>
        <w:t>一、总则</w:t>
      </w:r>
      <w:bookmarkEnd w:id="16"/>
      <w:bookmarkEnd w:id="17"/>
    </w:p>
    <w:p w14:paraId="668C5496">
      <w:pPr>
        <w:spacing w:line="500" w:lineRule="exact"/>
        <w:rPr>
          <w:rFonts w:asciiTheme="minorEastAsia" w:hAnsiTheme="minorEastAsia" w:eastAsiaTheme="minorEastAsia" w:cstheme="minorEastAsia"/>
          <w:b/>
          <w:color w:val="auto"/>
          <w:sz w:val="24"/>
          <w:highlight w:val="none"/>
        </w:rPr>
      </w:pPr>
      <w:bookmarkStart w:id="18" w:name="_Toc533314952"/>
      <w:bookmarkStart w:id="19" w:name="_Toc272163834"/>
      <w:r>
        <w:rPr>
          <w:rFonts w:hint="eastAsia" w:asciiTheme="minorEastAsia" w:hAnsiTheme="minorEastAsia" w:eastAsiaTheme="minorEastAsia" w:cstheme="minorEastAsia"/>
          <w:b/>
          <w:color w:val="auto"/>
          <w:sz w:val="24"/>
          <w:highlight w:val="none"/>
        </w:rPr>
        <w:t>1、适用范围</w:t>
      </w:r>
    </w:p>
    <w:p w14:paraId="5DDE925F">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1.1本文件是根据《中华人民共和国政府采购法》等相关法律、法规制订。</w:t>
      </w:r>
    </w:p>
    <w:p w14:paraId="25A3EB10">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1.2凡在六安市从事服务类政府采购单一来源项目，均适用本范本。</w:t>
      </w:r>
    </w:p>
    <w:p w14:paraId="7B66E5B0">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1.3本采购文件的最终解释权归项目单位所有。</w:t>
      </w:r>
    </w:p>
    <w:p w14:paraId="63E156C6">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255EA261">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r>
        <w:rPr>
          <w:rFonts w:hint="eastAsia" w:asciiTheme="minorEastAsia" w:hAnsiTheme="minorEastAsia" w:eastAsiaTheme="minorEastAsia" w:cstheme="minorEastAsia"/>
          <w:b/>
          <w:color w:val="auto"/>
          <w:sz w:val="24"/>
          <w:highlight w:val="none"/>
        </w:rPr>
        <w:t>服务：</w:t>
      </w:r>
      <w:r>
        <w:rPr>
          <w:rFonts w:hint="eastAsia" w:asciiTheme="minorEastAsia" w:hAnsiTheme="minorEastAsia" w:eastAsiaTheme="minorEastAsia" w:cstheme="minorEastAsia"/>
          <w:color w:val="auto"/>
          <w:sz w:val="24"/>
          <w:highlight w:val="none"/>
        </w:rPr>
        <w:t>既是指本范本适用于服务采购。</w:t>
      </w:r>
    </w:p>
    <w:p w14:paraId="0E5FBED7">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r>
        <w:rPr>
          <w:rFonts w:hint="eastAsia" w:asciiTheme="minorEastAsia" w:hAnsiTheme="minorEastAsia" w:eastAsiaTheme="minorEastAsia" w:cstheme="minorEastAsia"/>
          <w:b/>
          <w:color w:val="auto"/>
          <w:sz w:val="24"/>
          <w:highlight w:val="none"/>
        </w:rPr>
        <w:t>采购人：</w:t>
      </w:r>
      <w:r>
        <w:rPr>
          <w:rFonts w:hint="eastAsia" w:asciiTheme="minorEastAsia" w:hAnsiTheme="minorEastAsia" w:eastAsiaTheme="minorEastAsia" w:cstheme="minorEastAsia"/>
          <w:color w:val="auto"/>
          <w:sz w:val="24"/>
          <w:highlight w:val="none"/>
        </w:rPr>
        <w:t>是指具体负责和从事采购业务的集中采购机构、社会中介代理机构和项目单位（采购人）的总称。</w:t>
      </w:r>
    </w:p>
    <w:p w14:paraId="2BE092E5">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3、供应商资格要求：</w:t>
      </w:r>
      <w:r>
        <w:rPr>
          <w:rFonts w:hint="eastAsia" w:asciiTheme="minorEastAsia" w:hAnsiTheme="minorEastAsia" w:eastAsiaTheme="minorEastAsia" w:cstheme="minorEastAsia"/>
          <w:color w:val="auto"/>
          <w:sz w:val="24"/>
          <w:highlight w:val="none"/>
        </w:rPr>
        <w:t>符合政府采购法等法律法规的相关规定。</w:t>
      </w:r>
    </w:p>
    <w:p w14:paraId="4DB35D79">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4、供应商参与采购活动的费用</w:t>
      </w:r>
    </w:p>
    <w:p w14:paraId="13BF0E09">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4.1供应商必须自行承担所有与参加采购活动的有关费用。不论结果如何，采购人在任何情况下均无义务和责任承担这些费用。</w:t>
      </w:r>
    </w:p>
    <w:p w14:paraId="6CD461D9">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5、保密</w:t>
      </w:r>
    </w:p>
    <w:p w14:paraId="1BC1E8BD">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参与采购活动的各方主体应对服务类单一来源采购文件和单一来源响应文件中的商业和技术等秘密保密，违者应对由此造成的后果承担法律责任。</w:t>
      </w:r>
    </w:p>
    <w:p w14:paraId="071DFC55">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6、语言文字</w:t>
      </w:r>
    </w:p>
    <w:p w14:paraId="0CDA56DF">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单一来源及其响应文件使用的语言文字</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供应商与采购人就单一来源采购相关事项的所有往来函电均须使用简体中文（部分专用术语需使用外文的除外）。</w:t>
      </w:r>
    </w:p>
    <w:p w14:paraId="5E5E6807">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7、计量单位</w:t>
      </w:r>
    </w:p>
    <w:p w14:paraId="607DA1D6">
      <w:pPr>
        <w:pStyle w:val="29"/>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所有计量均采用中华人民共和国法定计量单位。</w:t>
      </w:r>
    </w:p>
    <w:p w14:paraId="21C2578A">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8、勘察现场</w:t>
      </w:r>
    </w:p>
    <w:p w14:paraId="7AF041CE">
      <w:pPr>
        <w:tabs>
          <w:tab w:val="left" w:pos="0"/>
        </w:tabs>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采购人根据项目的具体情况，可以组织单一来源供应商现场考察。</w:t>
      </w:r>
    </w:p>
    <w:p w14:paraId="292B10FD">
      <w:pPr>
        <w:spacing w:line="50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9、偏离</w:t>
      </w:r>
    </w:p>
    <w:p w14:paraId="035DEDD9">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若服务类单一来源采购文件允许响应文件偏离某些要求，偏离应当符合单一来源文件规定的偏离范围和幅度。</w:t>
      </w:r>
    </w:p>
    <w:p w14:paraId="203EAB97">
      <w:pPr>
        <w:pStyle w:val="3"/>
        <w:spacing w:before="120" w:beforeLines="50" w:after="120" w:afterLines="50" w:line="500" w:lineRule="exact"/>
        <w:jc w:val="center"/>
        <w:rPr>
          <w:rFonts w:ascii="宋体" w:hAnsi="宋体" w:eastAsia="宋体" w:cs="宋体"/>
          <w:color w:val="auto"/>
          <w:sz w:val="24"/>
          <w:szCs w:val="24"/>
          <w:highlight w:val="none"/>
        </w:rPr>
      </w:pPr>
      <w:bookmarkStart w:id="20" w:name="_Toc18671557"/>
      <w:bookmarkStart w:id="21" w:name="_Toc12653"/>
      <w:r>
        <w:rPr>
          <w:rFonts w:hint="eastAsia" w:ascii="宋体" w:hAnsi="宋体" w:eastAsia="宋体" w:cs="宋体"/>
          <w:color w:val="auto"/>
          <w:sz w:val="24"/>
          <w:szCs w:val="24"/>
          <w:highlight w:val="none"/>
        </w:rPr>
        <w:t>二、</w:t>
      </w:r>
      <w:bookmarkEnd w:id="20"/>
      <w:r>
        <w:rPr>
          <w:rFonts w:hint="eastAsia" w:ascii="宋体" w:hAnsi="宋体" w:eastAsia="宋体" w:cs="宋体"/>
          <w:color w:val="auto"/>
          <w:sz w:val="24"/>
          <w:szCs w:val="24"/>
          <w:highlight w:val="none"/>
        </w:rPr>
        <w:t>服务类单一来源采购文件</w:t>
      </w:r>
      <w:bookmarkEnd w:id="21"/>
    </w:p>
    <w:p w14:paraId="7B82F8D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10采购文件构成</w:t>
      </w:r>
    </w:p>
    <w:p w14:paraId="358D081A">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10.1采购文件包括：</w:t>
      </w:r>
    </w:p>
    <w:p w14:paraId="11093D6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单一来源采购邀请书</w:t>
      </w:r>
    </w:p>
    <w:p w14:paraId="1ACC3C4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供应商须知前附表</w:t>
      </w:r>
    </w:p>
    <w:p w14:paraId="206BD6D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供应商须知</w:t>
      </w:r>
    </w:p>
    <w:p w14:paraId="510939BB">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采购需求</w:t>
      </w:r>
    </w:p>
    <w:p w14:paraId="1EA654D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单一来源响应文件</w:t>
      </w:r>
    </w:p>
    <w:p w14:paraId="5609B582">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10.2供应商应认真阅读和充分理解服务类单一来源采购文件中所有的内容。如果其单一来源响应文件没有满足服务类单一来源采购文件的有关要求，其风险由供应商自行承担。</w:t>
      </w:r>
    </w:p>
    <w:p w14:paraId="4FFA4F7C">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11、服务类单一来源采购文件的澄清和修改</w:t>
      </w:r>
    </w:p>
    <w:p w14:paraId="53913DCF">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11.1采购人认为服务类单一来源采购文件未表述清楚的，可以进行澄清并书面通知供应商。</w:t>
      </w:r>
    </w:p>
    <w:p w14:paraId="5D19455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11.2 供应商认为服务类单一来源采购文件表述不清的，可以要求采购人作出解释。 </w:t>
      </w:r>
    </w:p>
    <w:p w14:paraId="0B5A7C38">
      <w:pPr>
        <w:pStyle w:val="3"/>
        <w:spacing w:before="120" w:beforeLines="50" w:after="120" w:afterLines="50" w:line="480" w:lineRule="exact"/>
        <w:jc w:val="center"/>
        <w:rPr>
          <w:rFonts w:ascii="宋体" w:hAnsi="宋体" w:eastAsia="宋体" w:cs="宋体"/>
          <w:color w:val="auto"/>
          <w:sz w:val="24"/>
          <w:szCs w:val="24"/>
          <w:highlight w:val="none"/>
        </w:rPr>
      </w:pPr>
      <w:bookmarkStart w:id="22" w:name="_Toc18671558"/>
      <w:bookmarkStart w:id="23" w:name="_Toc2231"/>
      <w:r>
        <w:rPr>
          <w:rFonts w:hint="eastAsia" w:ascii="宋体" w:hAnsi="宋体" w:eastAsia="宋体" w:cs="宋体"/>
          <w:color w:val="auto"/>
          <w:sz w:val="24"/>
          <w:szCs w:val="24"/>
          <w:highlight w:val="none"/>
        </w:rPr>
        <w:t>三、单一来源响应文件的编制</w:t>
      </w:r>
      <w:bookmarkEnd w:id="22"/>
      <w:bookmarkEnd w:id="23"/>
    </w:p>
    <w:p w14:paraId="0797F987">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12、单一来源响应文件构成</w:t>
      </w:r>
    </w:p>
    <w:p w14:paraId="7A090E8B">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12.1响应文件必须按照本文件规定的内容和顺序进行编写。</w:t>
      </w:r>
    </w:p>
    <w:p w14:paraId="6D047B8B">
      <w:pPr>
        <w:tabs>
          <w:tab w:val="left" w:pos="72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12.2供应商必须对其响应文件的真实性与准确性负责。供应商一旦成为成交供应商，其响应文件将作为合同的重要组成部分。 </w:t>
      </w:r>
    </w:p>
    <w:p w14:paraId="2B8E77D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12.3供应商不得在未征得采购人许可的情况下，擅自对服务类单一来源采购文件条款和技术要求进行修改。</w:t>
      </w:r>
    </w:p>
    <w:p w14:paraId="47799184">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12.4证明供应商合格的资格文件</w:t>
      </w:r>
    </w:p>
    <w:p w14:paraId="1D61A58E">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12.4.1应包括服务类单一来源采购文件要求的证明其有资格参加采购活动</w:t>
      </w:r>
      <w:r>
        <w:rPr>
          <w:rFonts w:hint="eastAsia" w:asciiTheme="minorEastAsia" w:hAnsiTheme="minorEastAsia" w:eastAsiaTheme="minorEastAsia" w:cstheme="minorEastAsia"/>
          <w:color w:val="auto"/>
          <w:sz w:val="24"/>
          <w:highlight w:val="none"/>
          <w:lang w:eastAsia="zh-CN"/>
        </w:rPr>
        <w:t>以及</w:t>
      </w:r>
      <w:r>
        <w:rPr>
          <w:rFonts w:hint="eastAsia" w:asciiTheme="minorEastAsia" w:hAnsiTheme="minorEastAsia" w:eastAsiaTheme="minorEastAsia" w:cstheme="minorEastAsia"/>
          <w:color w:val="auto"/>
          <w:sz w:val="24"/>
          <w:highlight w:val="none"/>
        </w:rPr>
        <w:t>之后有能力履行合同的证明文件。</w:t>
      </w:r>
    </w:p>
    <w:p w14:paraId="3984F311">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13、单一来源报价</w:t>
      </w:r>
    </w:p>
    <w:p w14:paraId="2445EE70">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13.1本项目只允许一个方案、一个报价。多方案、多报价的响应文件将不被接受。</w:t>
      </w:r>
    </w:p>
    <w:p w14:paraId="24EE4D9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13.2服务类项目适用：响应总报价应包括完成本项目的费用、税费、等所有费用，即为履行合同的最终价格。</w:t>
      </w:r>
    </w:p>
    <w:p w14:paraId="17837371">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13.3供应商响应的货币为人民币。</w:t>
      </w:r>
    </w:p>
    <w:p w14:paraId="1D4E2DF6">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14、响应保证金</w:t>
      </w:r>
    </w:p>
    <w:p w14:paraId="376C50E9">
      <w:pPr>
        <w:tabs>
          <w:tab w:val="left" w:pos="720"/>
        </w:tabs>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本项目无须递交响应保证金</w:t>
      </w:r>
    </w:p>
    <w:p w14:paraId="53EAA29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15、响应有效期</w:t>
      </w:r>
    </w:p>
    <w:p w14:paraId="0B46824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15.1响应有效期在“供应商须知前附表”中有明确的规定。供应商如未就此提出异议，则视同接受；如承诺的响应有效期短于此规定时间的，将被视为非响应性投标而予以拒绝。</w:t>
      </w:r>
    </w:p>
    <w:p w14:paraId="4C9A53E3">
      <w:pPr>
        <w:pStyle w:val="29"/>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15.2在特殊情况下，采购人可于原</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有效期满之前，向供应商提出延长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有效期的要求。供应商同意延长的，不得要求或被允许修改或撤销其单一来源响应文件。供应商拒绝延长的，可以书面形式拒绝采购人的这种要求。如在规定的时间内未提出书面意见表示拒绝，将视为同意延长</w:t>
      </w:r>
      <w:r>
        <w:rPr>
          <w:rFonts w:hint="eastAsia" w:asciiTheme="minorEastAsia" w:hAnsiTheme="minorEastAsia" w:eastAsiaTheme="minorEastAsia" w:cstheme="minorEastAsia"/>
          <w:color w:val="auto"/>
          <w:sz w:val="24"/>
          <w:highlight w:val="none"/>
        </w:rPr>
        <w:t>响应</w:t>
      </w:r>
      <w:r>
        <w:rPr>
          <w:rFonts w:hint="eastAsia" w:asciiTheme="minorEastAsia" w:hAnsiTheme="minorEastAsia" w:eastAsiaTheme="minorEastAsia" w:cstheme="minorEastAsia"/>
          <w:color w:val="auto"/>
          <w:sz w:val="24"/>
          <w:szCs w:val="24"/>
          <w:highlight w:val="none"/>
        </w:rPr>
        <w:t>有效期。</w:t>
      </w:r>
    </w:p>
    <w:p w14:paraId="32D8399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15.3在响应有效期内，供应商撤销或修改其单一来源响应文件的，应承担责任。</w:t>
      </w:r>
    </w:p>
    <w:p w14:paraId="23F0B562">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16、单一来源响应文件签署</w:t>
      </w:r>
    </w:p>
    <w:p w14:paraId="5C4AE49E">
      <w:pPr>
        <w:tabs>
          <w:tab w:val="left" w:pos="0"/>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除特别说明外，本文件要求供应商盖章或者法定代表人签字处，均需加盖供应商</w:t>
      </w:r>
      <w:r>
        <w:rPr>
          <w:rFonts w:hint="eastAsia" w:asciiTheme="minorEastAsia" w:hAnsiTheme="minorEastAsia" w:eastAsiaTheme="minorEastAsia" w:cstheme="minorEastAsia"/>
          <w:color w:val="auto"/>
          <w:sz w:val="24"/>
          <w:highlight w:val="none"/>
          <w:lang w:val="en-US" w:eastAsia="zh-CN"/>
        </w:rPr>
        <w:t>公章</w:t>
      </w:r>
      <w:r>
        <w:rPr>
          <w:rFonts w:hint="eastAsia" w:asciiTheme="minorEastAsia" w:hAnsiTheme="minorEastAsia" w:eastAsiaTheme="minorEastAsia" w:cstheme="minorEastAsia"/>
          <w:color w:val="auto"/>
          <w:sz w:val="24"/>
          <w:highlight w:val="none"/>
        </w:rPr>
        <w:t>或其法定代表人</w:t>
      </w:r>
      <w:r>
        <w:rPr>
          <w:rFonts w:hint="eastAsia" w:asciiTheme="minorEastAsia" w:hAnsiTheme="minorEastAsia" w:eastAsiaTheme="minorEastAsia" w:cstheme="minorEastAsia"/>
          <w:color w:val="auto"/>
          <w:sz w:val="24"/>
          <w:highlight w:val="none"/>
          <w:lang w:val="en-US" w:eastAsia="zh-CN"/>
        </w:rPr>
        <w:t>签字</w:t>
      </w:r>
      <w:r>
        <w:rPr>
          <w:rFonts w:hint="eastAsia" w:asciiTheme="minorEastAsia" w:hAnsiTheme="minorEastAsia" w:eastAsiaTheme="minorEastAsia" w:cstheme="minorEastAsia"/>
          <w:color w:val="auto"/>
          <w:sz w:val="24"/>
          <w:highlight w:val="none"/>
        </w:rPr>
        <w:t>。被授权人签字的，还需附法定代表人授权委托书。</w:t>
      </w:r>
    </w:p>
    <w:p w14:paraId="11C846B3">
      <w:pPr>
        <w:pStyle w:val="3"/>
        <w:spacing w:before="120" w:beforeLines="50" w:after="120" w:afterLines="50" w:line="480" w:lineRule="exact"/>
        <w:jc w:val="center"/>
        <w:rPr>
          <w:rFonts w:ascii="宋体" w:hAnsi="宋体" w:eastAsia="宋体" w:cs="宋体"/>
          <w:color w:val="auto"/>
          <w:sz w:val="24"/>
          <w:szCs w:val="24"/>
          <w:highlight w:val="none"/>
        </w:rPr>
      </w:pPr>
      <w:bookmarkStart w:id="24" w:name="_Toc18671559"/>
      <w:bookmarkStart w:id="25" w:name="_Toc26999"/>
      <w:r>
        <w:rPr>
          <w:rFonts w:hint="eastAsia" w:ascii="宋体" w:hAnsi="宋体" w:eastAsia="宋体" w:cs="宋体"/>
          <w:color w:val="auto"/>
          <w:sz w:val="24"/>
          <w:szCs w:val="24"/>
          <w:highlight w:val="none"/>
        </w:rPr>
        <w:t>四、单一来源响应文件的递交</w:t>
      </w:r>
      <w:bookmarkEnd w:id="24"/>
      <w:bookmarkEnd w:id="25"/>
    </w:p>
    <w:p w14:paraId="3D6E2A9C">
      <w:pPr>
        <w:spacing w:line="48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17、单一来源响应文件的提交</w:t>
      </w:r>
    </w:p>
    <w:p w14:paraId="42E953EF">
      <w:pPr>
        <w:pStyle w:val="29"/>
        <w:spacing w:line="48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本项目为纸质投标，在</w:t>
      </w:r>
      <w:r>
        <w:rPr>
          <w:rFonts w:hint="eastAsia" w:asciiTheme="minorEastAsia" w:hAnsiTheme="minorEastAsia" w:eastAsiaTheme="minorEastAsia" w:cstheme="minorEastAsia"/>
          <w:color w:val="auto"/>
          <w:sz w:val="24"/>
          <w:szCs w:val="24"/>
          <w:highlight w:val="none"/>
          <w:lang w:val="en-US" w:eastAsia="zh-CN"/>
        </w:rPr>
        <w:t>响应文件递交</w:t>
      </w:r>
      <w:r>
        <w:rPr>
          <w:rFonts w:hint="eastAsia" w:asciiTheme="minorEastAsia" w:hAnsiTheme="minorEastAsia" w:eastAsiaTheme="minorEastAsia" w:cstheme="minorEastAsia"/>
          <w:color w:val="auto"/>
          <w:sz w:val="24"/>
          <w:szCs w:val="24"/>
          <w:highlight w:val="none"/>
        </w:rPr>
        <w:t>截止时间前现场递交</w:t>
      </w:r>
      <w:r>
        <w:rPr>
          <w:rFonts w:hint="eastAsia" w:asciiTheme="minorEastAsia" w:hAnsiTheme="minorEastAsia" w:eastAsiaTheme="minorEastAsia" w:cstheme="minorEastAsia"/>
          <w:color w:val="auto"/>
          <w:sz w:val="24"/>
          <w:szCs w:val="24"/>
          <w:highlight w:val="none"/>
          <w:lang w:eastAsia="zh-CN"/>
        </w:rPr>
        <w:t>。</w:t>
      </w:r>
    </w:p>
    <w:p w14:paraId="49921AB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18、单一来源响应文件的修改和撤回</w:t>
      </w:r>
    </w:p>
    <w:p w14:paraId="31A5A87A">
      <w:pPr>
        <w:pStyle w:val="29"/>
        <w:spacing w:line="48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在供应商须知前附表规定的响应文件提交截止时间前，供应商可以修改或撤回已递交的单一来源响应文件。</w:t>
      </w:r>
    </w:p>
    <w:p w14:paraId="112D7807">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19、联合体参加单一来源协商</w:t>
      </w:r>
    </w:p>
    <w:p w14:paraId="1C9EFF67">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由两家或两家以上供应商组成的联合体参与协商时，应满足以下要求：</w:t>
      </w:r>
    </w:p>
    <w:p w14:paraId="3DC2DF9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参加联合体的供应商均应当具备政府采购法第二十二条规定的条件，如本项目还有其他特定条件的，联合体各方中至少有一方符合特定的条件。联合体中有同类资质的供应商按照联合体分工承担相同工作的，应当按照资质等级较低的供应商确定资质等级。</w:t>
      </w:r>
    </w:p>
    <w:p w14:paraId="647C18A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19.2联合体应签订联合参与协商的协议，明确各方承担的职责和相应的责任，并授权其中的一个成员作为代表，具体进行协商、签订合同等事务。此协议或授权书应作为单一来源响应文件的一部分。</w:t>
      </w:r>
    </w:p>
    <w:p w14:paraId="17A9256C">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19.3联合体中牵头方应能全权处理协商过程中的有关问题。一旦成为成交供应商，该被授权供应商应负责签订合同并负责合同的全面实施，包括合同款项的收付。</w:t>
      </w:r>
    </w:p>
    <w:p w14:paraId="68FA0E10">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19.4以联合体形式参加采购活动的，联合体各方不得再单独参加或者与其他供应商另外组成联合体参加同一合同项下的采购活动。</w:t>
      </w:r>
    </w:p>
    <w:p w14:paraId="6714FAF1">
      <w:pPr>
        <w:pStyle w:val="3"/>
        <w:spacing w:before="120" w:beforeLines="50" w:after="120" w:afterLines="50" w:line="480" w:lineRule="exact"/>
        <w:jc w:val="center"/>
        <w:rPr>
          <w:rFonts w:ascii="宋体" w:hAnsi="宋体" w:eastAsia="宋体" w:cs="宋体"/>
          <w:color w:val="auto"/>
          <w:sz w:val="24"/>
          <w:szCs w:val="24"/>
          <w:highlight w:val="none"/>
        </w:rPr>
      </w:pPr>
      <w:bookmarkStart w:id="26" w:name="_Toc18671560"/>
      <w:bookmarkStart w:id="27" w:name="_Toc20301"/>
      <w:r>
        <w:rPr>
          <w:rFonts w:hint="eastAsia" w:ascii="宋体" w:hAnsi="宋体" w:eastAsia="宋体" w:cs="宋体"/>
          <w:color w:val="auto"/>
          <w:sz w:val="24"/>
          <w:szCs w:val="24"/>
          <w:highlight w:val="none"/>
        </w:rPr>
        <w:t>五、协商与评审</w:t>
      </w:r>
      <w:bookmarkEnd w:id="26"/>
      <w:bookmarkEnd w:id="27"/>
    </w:p>
    <w:p w14:paraId="197D04CF">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20、协商</w:t>
      </w:r>
    </w:p>
    <w:p w14:paraId="29C5EB31">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20.1采购人将在规定的时间组织协商。供应商的法定代表人或其委托的代理人应在</w:t>
      </w:r>
      <w:r>
        <w:rPr>
          <w:rFonts w:hint="eastAsia" w:asciiTheme="minorEastAsia" w:hAnsiTheme="minorEastAsia" w:eastAsiaTheme="minorEastAsia" w:cstheme="minorEastAsia"/>
          <w:color w:val="auto"/>
          <w:sz w:val="24"/>
          <w:highlight w:val="none"/>
          <w:lang w:val="en-US" w:eastAsia="zh-CN"/>
        </w:rPr>
        <w:t>现场</w:t>
      </w:r>
      <w:r>
        <w:rPr>
          <w:rFonts w:hint="eastAsia" w:asciiTheme="minorEastAsia" w:hAnsiTheme="minorEastAsia" w:eastAsiaTheme="minorEastAsia" w:cstheme="minorEastAsia"/>
          <w:color w:val="auto"/>
          <w:sz w:val="24"/>
          <w:highlight w:val="none"/>
        </w:rPr>
        <w:t>准时参加。</w:t>
      </w:r>
    </w:p>
    <w:p w14:paraId="2E9ADE79">
      <w:pPr>
        <w:tabs>
          <w:tab w:val="left" w:pos="90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20.2采购人将按规定组织相关人员组成协商小组。</w:t>
      </w:r>
    </w:p>
    <w:p w14:paraId="08DE5E13">
      <w:pPr>
        <w:tabs>
          <w:tab w:val="left" w:pos="36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20.3协商小组将首先对单一来源响应文件进行符合性评审，了解其与采购文件要求是否有偏离。</w:t>
      </w:r>
    </w:p>
    <w:p w14:paraId="23FF18D4">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20.4符合性评审结束后，协商小组将要求供应商就单一来源响应文件中含糊不清、错漏的地方或协商小组提出的其他内容进行澄清，然后与供应商就采购需求进行协商并要求供应商就之前提出的问题和技术内容进行书面确认。</w:t>
      </w:r>
      <w:r>
        <w:rPr>
          <w:rFonts w:hint="eastAsia" w:asciiTheme="minorEastAsia" w:hAnsiTheme="minorEastAsia" w:eastAsiaTheme="minorEastAsia" w:cstheme="minorEastAsia"/>
          <w:b/>
          <w:color w:val="auto"/>
          <w:sz w:val="24"/>
          <w:highlight w:val="none"/>
        </w:rPr>
        <w:t>供应商未通过符合性评审的，不进入后续程序。</w:t>
      </w:r>
    </w:p>
    <w:p w14:paraId="5227B61D">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20.5符合性评审通过后，协商小组与供应商进行价格协商，并确定最终合同价格。</w:t>
      </w:r>
    </w:p>
    <w:p w14:paraId="49F58346">
      <w:pPr>
        <w:spacing w:line="480" w:lineRule="exact"/>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供应商每次报价都应当在协商小组发出报价要求后半小时内完成报价事宜。</w:t>
      </w:r>
    </w:p>
    <w:p w14:paraId="3B552E7B">
      <w:pPr>
        <w:spacing w:line="48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供应商必须在规定的时间内将自己在协商中作出的澄清、变动以及最终的报价，经供应商</w:t>
      </w:r>
      <w:r>
        <w:rPr>
          <w:rFonts w:hint="eastAsia" w:asciiTheme="minorEastAsia" w:hAnsiTheme="minorEastAsia" w:eastAsiaTheme="minorEastAsia" w:cstheme="minorEastAsia"/>
          <w:bCs/>
          <w:color w:val="auto"/>
          <w:sz w:val="24"/>
          <w:highlight w:val="none"/>
          <w:lang w:val="en-US" w:eastAsia="zh-CN"/>
        </w:rPr>
        <w:t>填写</w:t>
      </w:r>
      <w:r>
        <w:rPr>
          <w:rFonts w:hint="eastAsia" w:asciiTheme="minorEastAsia" w:hAnsiTheme="minorEastAsia" w:eastAsiaTheme="minorEastAsia" w:cstheme="minorEastAsia"/>
          <w:bCs/>
          <w:color w:val="auto"/>
          <w:sz w:val="24"/>
          <w:highlight w:val="none"/>
        </w:rPr>
        <w:t>后，以</w:t>
      </w:r>
      <w:r>
        <w:rPr>
          <w:rFonts w:hint="eastAsia" w:asciiTheme="minorEastAsia" w:hAnsiTheme="minorEastAsia" w:eastAsiaTheme="minorEastAsia" w:cstheme="minorEastAsia"/>
          <w:bCs/>
          <w:color w:val="auto"/>
          <w:sz w:val="24"/>
          <w:highlight w:val="none"/>
          <w:lang w:val="en-US" w:eastAsia="zh-CN"/>
        </w:rPr>
        <w:t>纸质</w:t>
      </w:r>
      <w:r>
        <w:rPr>
          <w:rFonts w:hint="eastAsia" w:asciiTheme="minorEastAsia" w:hAnsiTheme="minorEastAsia" w:eastAsiaTheme="minorEastAsia" w:cstheme="minorEastAsia"/>
          <w:bCs/>
          <w:color w:val="auto"/>
          <w:sz w:val="24"/>
          <w:highlight w:val="none"/>
        </w:rPr>
        <w:t>的方式提交给协商小组。</w:t>
      </w:r>
    </w:p>
    <w:p w14:paraId="73C6902C">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21、评审</w:t>
      </w:r>
    </w:p>
    <w:p w14:paraId="1EF78F8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21.1协商小组将依据供应商最终提交的确认件进行评审，并编写协商报告。</w:t>
      </w:r>
    </w:p>
    <w:p w14:paraId="6ACEAB23">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21.2采购人确认成交供应商后，应将结果在指定的网站公告。</w:t>
      </w:r>
    </w:p>
    <w:p w14:paraId="5AC5071B">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22、异常情况处理</w:t>
      </w:r>
    </w:p>
    <w:p w14:paraId="78DC46B4">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出现下列情形之一的，采购人或者采购代理机构应当终止采购活动，发布项目终止公告并说明原因，重新开展采购活动：</w:t>
      </w:r>
    </w:p>
    <w:p w14:paraId="27200421">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（一）因情况变化，不再符合规定的单一来源采购方式适用情形的；</w:t>
      </w:r>
    </w:p>
    <w:p w14:paraId="3839BEBE">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（二）出现影响采购公正的违法、违规行为的；</w:t>
      </w:r>
    </w:p>
    <w:p w14:paraId="6EC45A7D">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（三）报价超过采购预算的；</w:t>
      </w:r>
    </w:p>
    <w:p w14:paraId="0167C3EE">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（四）因重大事故，采购任务取消的。</w:t>
      </w:r>
    </w:p>
    <w:p w14:paraId="016D7DF0">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23、供应商存在下列情况之一的，响应无效：</w:t>
      </w:r>
    </w:p>
    <w:p w14:paraId="4F417123">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（一）响应文件未按采购文件要求签署、盖章的；</w:t>
      </w:r>
    </w:p>
    <w:p w14:paraId="6C611FC9">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（二）报价超过采购文件中规定的金额或者最高限价的，采购人可以支付的除外；</w:t>
      </w:r>
    </w:p>
    <w:p w14:paraId="0F15BBE6">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（三）响应文件含有采购人不能接受的附加条件的；</w:t>
      </w:r>
    </w:p>
    <w:p w14:paraId="0F4AED7F">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（四）法律、法规和采购文件规定的其他无效情形的；</w:t>
      </w:r>
    </w:p>
    <w:p w14:paraId="061D6C82">
      <w:pPr>
        <w:tabs>
          <w:tab w:val="left" w:pos="54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（五）提供虚假材料参加单一来源活动的违法、违规行为被查实的。</w:t>
      </w:r>
    </w:p>
    <w:p w14:paraId="3A7681CC">
      <w:pPr>
        <w:pStyle w:val="3"/>
        <w:spacing w:before="120" w:beforeLines="50" w:after="120" w:afterLines="50" w:line="480" w:lineRule="exact"/>
        <w:jc w:val="center"/>
        <w:rPr>
          <w:rFonts w:ascii="宋体" w:hAnsi="宋体" w:eastAsia="宋体" w:cs="宋体"/>
          <w:color w:val="auto"/>
          <w:sz w:val="24"/>
          <w:szCs w:val="24"/>
          <w:highlight w:val="none"/>
        </w:rPr>
      </w:pPr>
      <w:bookmarkStart w:id="28" w:name="_Toc18671561"/>
      <w:bookmarkStart w:id="29" w:name="_Toc4538"/>
      <w:r>
        <w:rPr>
          <w:rFonts w:hint="eastAsia" w:ascii="宋体" w:hAnsi="宋体" w:eastAsia="宋体" w:cs="宋体"/>
          <w:color w:val="auto"/>
          <w:sz w:val="24"/>
          <w:szCs w:val="24"/>
          <w:highlight w:val="none"/>
        </w:rPr>
        <w:t>六、成交和授予合同</w:t>
      </w:r>
      <w:bookmarkEnd w:id="28"/>
      <w:bookmarkEnd w:id="29"/>
    </w:p>
    <w:p w14:paraId="0E5A2478">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24、成交确认</w:t>
      </w:r>
    </w:p>
    <w:p w14:paraId="21395D41">
      <w:pPr>
        <w:tabs>
          <w:tab w:val="left" w:pos="0"/>
        </w:tabs>
        <w:spacing w:line="480" w:lineRule="exact"/>
        <w:rPr>
          <w:rFonts w:asciiTheme="minorEastAsia" w:hAnsiTheme="minorEastAsia" w:eastAsiaTheme="minorEastAsia" w:cstheme="minorEastAsia"/>
          <w:color w:val="auto"/>
          <w:sz w:val="24"/>
          <w:highlight w:val="none"/>
          <w:shd w:val="clear" w:color="auto" w:fill="FFFFFF"/>
        </w:rPr>
      </w:pPr>
      <w:r>
        <w:rPr>
          <w:rFonts w:hint="eastAsia" w:asciiTheme="minorEastAsia" w:hAnsiTheme="minorEastAsia" w:eastAsiaTheme="minorEastAsia" w:cstheme="minorEastAsia"/>
          <w:color w:val="auto"/>
          <w:sz w:val="24"/>
          <w:highlight w:val="none"/>
          <w:shd w:val="clear" w:color="auto" w:fill="FFFFFF"/>
        </w:rPr>
        <w:t>采购人应当在收到协商报告后5个工作日内，确定成交供应商。</w:t>
      </w:r>
    </w:p>
    <w:p w14:paraId="57439449">
      <w:pPr>
        <w:tabs>
          <w:tab w:val="left" w:pos="0"/>
        </w:tabs>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25、签订合同</w:t>
      </w:r>
    </w:p>
    <w:p w14:paraId="1DB1055F">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shd w:val="clear" w:color="auto" w:fill="FFFFFF"/>
        </w:rPr>
        <w:t>25</w:t>
      </w:r>
      <w:r>
        <w:rPr>
          <w:rFonts w:hint="eastAsia" w:asciiTheme="minorEastAsia" w:hAnsiTheme="minorEastAsia" w:eastAsiaTheme="minorEastAsia" w:cstheme="minorEastAsia"/>
          <w:color w:val="auto"/>
          <w:sz w:val="24"/>
          <w:highlight w:val="none"/>
        </w:rPr>
        <w:t>.1采购</w:t>
      </w:r>
      <w:r>
        <w:rPr>
          <w:rFonts w:hint="eastAsia" w:asciiTheme="minorEastAsia" w:hAnsiTheme="minorEastAsia" w:eastAsiaTheme="minorEastAsia" w:cstheme="minorEastAsia"/>
          <w:color w:val="auto"/>
          <w:sz w:val="24"/>
          <w:highlight w:val="none"/>
          <w:shd w:val="clear" w:color="auto" w:fill="FFFFFF"/>
        </w:rPr>
        <w:t>人应尽量缩短采购合同签订时间，按照采购文件确定的合同文本以及采购标的、规格型号、采购金额、采购数量、技术和服务要求等事项签订采购合同，不得晚于中标（成交）通知书发放之日起 7 个工作日。无正当理由不得拒绝或者拖延签订合同，因供应商自身原因导致无法及时签订的除外。</w:t>
      </w:r>
    </w:p>
    <w:p w14:paraId="40928A0C">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25.2政府采购合同在履行中可追加与合同标的相同的服务，但采购金额不得超过原合同采购金额的10%。</w:t>
      </w:r>
    </w:p>
    <w:p w14:paraId="6B01A50D">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25.3成交供应商拒绝与采购人签订合同的，将按相关规定进行处理。成交通知书发出后，采购人无正当理由不与成交供应商签订采购合同的，将依据相关规定给予处理。</w:t>
      </w:r>
    </w:p>
    <w:p w14:paraId="256BC887">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25.4因政策变化等原因不能签订合同，造成企业合法利益受损的情形，采购人可以与供应商充分协商，给予合理补偿。</w:t>
      </w:r>
    </w:p>
    <w:p w14:paraId="2C74614E">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25.5在签订合同时，供应商书面明确表示无需预付款或者主动要求降低预付款比例的，采购人可不适用前述（即付款方式）规定。</w:t>
      </w:r>
    </w:p>
    <w:p w14:paraId="4718C745">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25.6采购文件和合同中没有约定预付款的，经供应商申请，采购人可以支付预付款。</w:t>
      </w:r>
    </w:p>
    <w:p w14:paraId="3552889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25.7采购人可根据项目特点、供应商诚信等因素，要求供应商提交银行、保险公司、担保公司等金融机构出具的预付款保函或其他担保措施。</w:t>
      </w:r>
    </w:p>
    <w:p w14:paraId="4DCCF856">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25.8政府采购预付款应在合同、担保措施生效以及具备实施条件后 5 个工作日内支付。</w:t>
      </w:r>
    </w:p>
    <w:p w14:paraId="6600741F">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25.9延迟支付中小企业款项的，供应商可要求采购人按照合同约定支付逾期利息，合同没有约定的，按照同期人民银行 LPR支付逾期利息。</w:t>
      </w:r>
    </w:p>
    <w:p w14:paraId="1521E178">
      <w:pPr>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25.10 成交供应商无正当理由不与采购人订立合同的处罚依据：</w:t>
      </w:r>
    </w:p>
    <w:p w14:paraId="629FBD39">
      <w:pPr>
        <w:pStyle w:val="16"/>
        <w:spacing w:after="0" w:line="480" w:lineRule="exact"/>
        <w:ind w:firstLine="0"/>
        <w:rPr>
          <w:color w:val="auto"/>
          <w:highlight w:val="none"/>
        </w:rPr>
      </w:pPr>
      <w:r>
        <w:rPr>
          <w:rFonts w:hint="eastAsia"/>
          <w:color w:val="auto"/>
          <w:highlight w:val="none"/>
        </w:rPr>
        <w:t>（1）《中华人民共和国政府采购法实施条例》</w:t>
      </w:r>
    </w:p>
    <w:p w14:paraId="60310F9D">
      <w:pPr>
        <w:pStyle w:val="16"/>
        <w:spacing w:after="0" w:line="480" w:lineRule="exact"/>
        <w:ind w:firstLine="0"/>
        <w:rPr>
          <w:color w:val="auto"/>
          <w:highlight w:val="none"/>
        </w:rPr>
      </w:pPr>
      <w:r>
        <w:rPr>
          <w:rFonts w:hint="eastAsia"/>
          <w:color w:val="auto"/>
          <w:highlight w:val="none"/>
        </w:rPr>
        <w:t>第七十二条 供应商有下列情形之一的，依照政府采购法第七十七条第一款的规定追究法律责任：……</w:t>
      </w:r>
    </w:p>
    <w:p w14:paraId="38391F53">
      <w:pPr>
        <w:pStyle w:val="16"/>
        <w:spacing w:after="0" w:line="480" w:lineRule="exact"/>
        <w:ind w:firstLine="0"/>
        <w:rPr>
          <w:color w:val="auto"/>
          <w:highlight w:val="none"/>
        </w:rPr>
      </w:pPr>
      <w:r>
        <w:rPr>
          <w:rFonts w:hint="eastAsia"/>
          <w:color w:val="auto"/>
          <w:highlight w:val="none"/>
        </w:rPr>
        <w:t>（二）中标或者成交后无正当理由拒不与采购人签订政府采购合同；……</w:t>
      </w:r>
    </w:p>
    <w:p w14:paraId="29801E9F">
      <w:pPr>
        <w:pStyle w:val="16"/>
        <w:spacing w:after="0" w:line="480" w:lineRule="exact"/>
        <w:ind w:firstLine="0"/>
        <w:rPr>
          <w:color w:val="auto"/>
          <w:highlight w:val="none"/>
        </w:rPr>
      </w:pPr>
      <w:r>
        <w:rPr>
          <w:rFonts w:hint="eastAsia"/>
          <w:color w:val="auto"/>
          <w:highlight w:val="none"/>
        </w:rPr>
        <w:t>（2）《中华人民共和国政府采购法》</w:t>
      </w:r>
    </w:p>
    <w:p w14:paraId="194A9708">
      <w:pPr>
        <w:pStyle w:val="16"/>
        <w:spacing w:after="0" w:line="480" w:lineRule="exact"/>
        <w:ind w:firstLine="0"/>
        <w:rPr>
          <w:color w:val="auto"/>
          <w:highlight w:val="none"/>
        </w:rPr>
      </w:pPr>
      <w:r>
        <w:rPr>
          <w:rFonts w:hint="eastAsia"/>
          <w:color w:val="auto"/>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8DF97FE">
      <w:pPr>
        <w:pStyle w:val="16"/>
        <w:spacing w:after="0" w:line="480" w:lineRule="exact"/>
        <w:ind w:firstLine="0"/>
        <w:rPr>
          <w:color w:val="auto"/>
          <w:highlight w:val="none"/>
        </w:rPr>
      </w:pPr>
      <w:r>
        <w:rPr>
          <w:rFonts w:hint="eastAsia"/>
          <w:color w:val="auto"/>
          <w:highlight w:val="none"/>
        </w:rPr>
        <w:t>（3）《政府采购非招标采购方式管理办法》（财政部令第74号）</w:t>
      </w:r>
    </w:p>
    <w:p w14:paraId="0574F531">
      <w:pPr>
        <w:pStyle w:val="16"/>
        <w:spacing w:after="0" w:line="480" w:lineRule="exact"/>
        <w:ind w:firstLine="120" w:firstLineChars="5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25AA2A9F">
      <w:pPr>
        <w:pStyle w:val="16"/>
        <w:spacing w:after="0" w:line="480" w:lineRule="exact"/>
        <w:ind w:firstLine="0"/>
        <w:rPr>
          <w:rFonts w:asciiTheme="minorEastAsia" w:hAnsiTheme="minorEastAsia" w:eastAsiaTheme="minorEastAsia" w:cstheme="minorEastAsia"/>
          <w:color w:val="auto"/>
          <w:highlight w:val="none"/>
        </w:rPr>
      </w:pPr>
      <w:r>
        <w:rPr>
          <w:rFonts w:hint="eastAsia"/>
          <w:color w:val="auto"/>
          <w:highlight w:val="none"/>
        </w:rPr>
        <w:t>（二）成交后无正当理由不与采购人签订合同的；……</w:t>
      </w:r>
    </w:p>
    <w:p w14:paraId="739FC38C">
      <w:pPr>
        <w:spacing w:line="48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26、履约保证金</w:t>
      </w:r>
    </w:p>
    <w:p w14:paraId="4A444773">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26.1成交供应商在签订合同前必须按单一来源文件的规定，及时、足额交纳履约保证金。</w:t>
      </w:r>
    </w:p>
    <w:p w14:paraId="31093851">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履约保证金是督促成交供应商按时、按质、按量履行合同的一个经济制约手段。当采购人因成交供应商违约而造成损失时，可在无须征得成交供应商同意的情况下首先从其所交纳的履约保证金中获取相应的补偿。</w:t>
      </w:r>
    </w:p>
    <w:bookmarkEnd w:id="18"/>
    <w:bookmarkEnd w:id="19"/>
    <w:p w14:paraId="1742794A">
      <w:pPr>
        <w:spacing w:line="480" w:lineRule="exact"/>
        <w:rPr>
          <w:rFonts w:asciiTheme="minorEastAsia" w:hAnsiTheme="minorEastAsia" w:eastAsiaTheme="minorEastAsia" w:cstheme="minorEastAsia"/>
          <w:b/>
          <w:color w:val="auto"/>
          <w:sz w:val="24"/>
          <w:highlight w:val="none"/>
        </w:rPr>
      </w:pPr>
      <w:bookmarkStart w:id="30" w:name="_Toc14936"/>
      <w:bookmarkStart w:id="31" w:name="_Toc27142"/>
      <w:bookmarkStart w:id="32" w:name="_Toc272163837"/>
      <w:bookmarkStart w:id="33" w:name="_Toc533314955"/>
      <w:r>
        <w:rPr>
          <w:rFonts w:hint="eastAsia" w:asciiTheme="minorEastAsia" w:hAnsiTheme="minorEastAsia" w:eastAsiaTheme="minorEastAsia" w:cstheme="minorEastAsia"/>
          <w:b/>
          <w:color w:val="auto"/>
          <w:sz w:val="24"/>
          <w:highlight w:val="none"/>
        </w:rPr>
        <w:t>27、验收</w:t>
      </w:r>
      <w:bookmarkEnd w:id="30"/>
      <w:bookmarkEnd w:id="31"/>
      <w:r>
        <w:rPr>
          <w:rFonts w:hint="eastAsia" w:asciiTheme="minorEastAsia" w:hAnsiTheme="minorEastAsia" w:eastAsiaTheme="minorEastAsia" w:cstheme="minorEastAsia"/>
          <w:b/>
          <w:color w:val="auto"/>
          <w:sz w:val="24"/>
          <w:highlight w:val="none"/>
        </w:rPr>
        <w:t>与支付</w:t>
      </w:r>
    </w:p>
    <w:p w14:paraId="6BA6EB25">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27.1采购人应当在项目完成且收到供应商验收申请后 5 个工作日内组织开展履约验收。</w:t>
      </w:r>
    </w:p>
    <w:p w14:paraId="1FBD359D">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34536F9C">
      <w:pPr>
        <w:tabs>
          <w:tab w:val="left" w:pos="0"/>
        </w:tabs>
        <w:spacing w:line="48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27.3涉及安全、消防、环保等其他需要由质检或行业主管部门进行验收的项目，必须邀请相关部门或相关专家参与验收。</w:t>
      </w:r>
    </w:p>
    <w:p w14:paraId="13DD6227">
      <w:pPr>
        <w:tabs>
          <w:tab w:val="left" w:pos="0"/>
        </w:tabs>
        <w:spacing w:line="4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对于符合支付条件的项目，应在收到发票后7个工作日内将资金支付到合同约定的供应商账户，不得以进行审计作为支付供应商款项的条件。采购人不得以机构变动、人员更替、政策调整、履行内部付款流程等为由延迟付款。</w:t>
      </w:r>
    </w:p>
    <w:p w14:paraId="4952837F">
      <w:pPr>
        <w:pStyle w:val="16"/>
        <w:ind w:firstLine="0"/>
        <w:rPr>
          <w:rFonts w:ascii="宋体" w:hAnsi="宋体"/>
          <w:color w:val="auto"/>
          <w:szCs w:val="24"/>
          <w:highlight w:val="none"/>
        </w:rPr>
      </w:pPr>
    </w:p>
    <w:p w14:paraId="06D2AF9A">
      <w:pPr>
        <w:pStyle w:val="16"/>
        <w:ind w:firstLine="0"/>
        <w:rPr>
          <w:rFonts w:ascii="宋体" w:hAnsi="宋体"/>
          <w:color w:val="auto"/>
          <w:szCs w:val="24"/>
          <w:highlight w:val="none"/>
        </w:rPr>
      </w:pPr>
    </w:p>
    <w:p w14:paraId="1FD136EC">
      <w:pPr>
        <w:pStyle w:val="16"/>
        <w:ind w:firstLine="0"/>
        <w:rPr>
          <w:rFonts w:ascii="宋体" w:hAnsi="宋体"/>
          <w:color w:val="auto"/>
          <w:szCs w:val="24"/>
          <w:highlight w:val="none"/>
        </w:rPr>
      </w:pPr>
    </w:p>
    <w:p w14:paraId="75E927C3">
      <w:pPr>
        <w:pStyle w:val="16"/>
        <w:ind w:firstLine="0"/>
        <w:rPr>
          <w:rFonts w:ascii="宋体" w:hAnsi="宋体"/>
          <w:color w:val="auto"/>
          <w:szCs w:val="24"/>
          <w:highlight w:val="none"/>
        </w:rPr>
      </w:pPr>
    </w:p>
    <w:p w14:paraId="15A13EC3">
      <w:pPr>
        <w:pStyle w:val="16"/>
        <w:ind w:firstLine="0"/>
        <w:rPr>
          <w:rFonts w:ascii="宋体" w:hAnsi="宋体"/>
          <w:color w:val="auto"/>
          <w:szCs w:val="24"/>
          <w:highlight w:val="none"/>
        </w:rPr>
      </w:pPr>
    </w:p>
    <w:p w14:paraId="62D21DE2">
      <w:pPr>
        <w:pStyle w:val="16"/>
        <w:ind w:firstLine="0"/>
        <w:rPr>
          <w:rFonts w:ascii="宋体" w:hAnsi="宋体"/>
          <w:color w:val="auto"/>
          <w:szCs w:val="24"/>
          <w:highlight w:val="none"/>
        </w:rPr>
      </w:pPr>
    </w:p>
    <w:p w14:paraId="041E6515">
      <w:pPr>
        <w:pStyle w:val="16"/>
        <w:ind w:firstLine="0"/>
        <w:rPr>
          <w:rFonts w:ascii="宋体" w:hAnsi="宋体"/>
          <w:color w:val="auto"/>
          <w:szCs w:val="24"/>
          <w:highlight w:val="none"/>
        </w:rPr>
      </w:pPr>
    </w:p>
    <w:p w14:paraId="5F603A8A">
      <w:pPr>
        <w:pStyle w:val="16"/>
        <w:ind w:firstLine="0"/>
        <w:rPr>
          <w:rFonts w:ascii="宋体" w:hAnsi="宋体"/>
          <w:color w:val="auto"/>
          <w:szCs w:val="24"/>
          <w:highlight w:val="none"/>
        </w:rPr>
      </w:pPr>
    </w:p>
    <w:p w14:paraId="325C76AA">
      <w:pPr>
        <w:pStyle w:val="16"/>
        <w:ind w:firstLine="0"/>
        <w:rPr>
          <w:rFonts w:ascii="宋体" w:hAnsi="宋体"/>
          <w:color w:val="auto"/>
          <w:szCs w:val="24"/>
          <w:highlight w:val="none"/>
        </w:rPr>
      </w:pPr>
    </w:p>
    <w:p w14:paraId="04EBC27E">
      <w:pPr>
        <w:pStyle w:val="16"/>
        <w:ind w:firstLine="0"/>
        <w:rPr>
          <w:rFonts w:ascii="宋体" w:hAnsi="宋体"/>
          <w:color w:val="auto"/>
          <w:szCs w:val="24"/>
          <w:highlight w:val="none"/>
        </w:rPr>
      </w:pPr>
    </w:p>
    <w:p w14:paraId="619CD4CC">
      <w:pPr>
        <w:pStyle w:val="16"/>
        <w:ind w:firstLine="0"/>
        <w:rPr>
          <w:rFonts w:ascii="宋体" w:hAnsi="宋体"/>
          <w:color w:val="auto"/>
          <w:szCs w:val="24"/>
          <w:highlight w:val="none"/>
        </w:rPr>
      </w:pPr>
    </w:p>
    <w:p w14:paraId="731819EC">
      <w:pPr>
        <w:pStyle w:val="16"/>
        <w:ind w:firstLine="0"/>
        <w:rPr>
          <w:rFonts w:ascii="宋体" w:hAnsi="宋体"/>
          <w:color w:val="auto"/>
          <w:szCs w:val="24"/>
          <w:highlight w:val="none"/>
        </w:rPr>
      </w:pPr>
    </w:p>
    <w:p w14:paraId="41FBA097">
      <w:pPr>
        <w:pStyle w:val="16"/>
        <w:ind w:firstLine="0"/>
        <w:rPr>
          <w:rFonts w:ascii="宋体" w:hAnsi="宋体"/>
          <w:color w:val="auto"/>
          <w:szCs w:val="24"/>
          <w:highlight w:val="none"/>
        </w:rPr>
      </w:pPr>
    </w:p>
    <w:p w14:paraId="7CFCB6AD">
      <w:pPr>
        <w:rPr>
          <w:rFonts w:hint="eastAsia" w:ascii="宋体" w:hAnsi="宋体" w:eastAsia="宋体" w:cs="宋体"/>
          <w:b/>
          <w:color w:val="auto"/>
          <w:sz w:val="24"/>
          <w:szCs w:val="24"/>
          <w:highlight w:val="none"/>
        </w:rPr>
      </w:pPr>
      <w:bookmarkStart w:id="34" w:name="_Toc463733011"/>
      <w:bookmarkStart w:id="35" w:name="_Toc29961"/>
      <w:bookmarkStart w:id="36" w:name="_Toc220232392"/>
      <w:r>
        <w:rPr>
          <w:rFonts w:hint="eastAsia" w:ascii="宋体" w:hAnsi="宋体" w:eastAsia="宋体" w:cs="宋体"/>
          <w:b/>
          <w:color w:val="auto"/>
          <w:sz w:val="24"/>
          <w:szCs w:val="24"/>
          <w:highlight w:val="none"/>
        </w:rPr>
        <w:br w:type="page"/>
      </w:r>
    </w:p>
    <w:p w14:paraId="65A3A05C">
      <w:pPr>
        <w:pStyle w:val="2"/>
        <w:bidi w:val="0"/>
        <w:ind w:left="0" w:firstLine="0"/>
        <w:rPr>
          <w:rFonts w:ascii="宋体" w:hAnsi="宋体" w:eastAsia="宋体" w:cs="宋体"/>
          <w:b/>
          <w:color w:val="auto"/>
          <w:sz w:val="24"/>
          <w:szCs w:val="24"/>
          <w:highlight w:val="none"/>
        </w:rPr>
      </w:pPr>
      <w:bookmarkStart w:id="37" w:name="_Toc17486"/>
      <w:r>
        <w:rPr>
          <w:rFonts w:hint="eastAsia" w:ascii="Arial" w:hAnsi="Arial" w:eastAsia="宋体"/>
          <w:lang w:eastAsia="zh-CN"/>
        </w:rPr>
        <w:t>第四章  采购合同</w:t>
      </w:r>
      <w:bookmarkEnd w:id="34"/>
      <w:bookmarkEnd w:id="35"/>
      <w:bookmarkEnd w:id="36"/>
      <w:bookmarkEnd w:id="37"/>
    </w:p>
    <w:p w14:paraId="4CD7F825">
      <w:pPr>
        <w:spacing w:before="78" w:line="220" w:lineRule="auto"/>
        <w:jc w:val="center"/>
        <w:rPr>
          <w:rFonts w:hint="eastAsia" w:ascii="宋体" w:hAnsi="宋体" w:eastAsia="宋体" w:cs="宋体"/>
          <w:color w:val="auto"/>
          <w:spacing w:val="-6"/>
          <w:sz w:val="24"/>
          <w:highlight w:val="none"/>
          <w:lang w:eastAsia="zh-CN"/>
        </w:rPr>
      </w:pP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甲乙双方自行拟定</w:t>
      </w:r>
      <w:r>
        <w:rPr>
          <w:rFonts w:hint="eastAsia" w:ascii="宋体" w:hAnsi="宋体" w:eastAsia="宋体" w:cs="宋体"/>
          <w:color w:val="auto"/>
          <w:spacing w:val="-6"/>
          <w:sz w:val="24"/>
          <w:highlight w:val="none"/>
          <w:lang w:eastAsia="zh-CN"/>
        </w:rPr>
        <w:t>）</w:t>
      </w:r>
    </w:p>
    <w:p w14:paraId="205615B4">
      <w:pPr>
        <w:spacing w:line="253" w:lineRule="auto"/>
        <w:rPr>
          <w:color w:val="auto"/>
          <w:highlight w:val="none"/>
        </w:rPr>
      </w:pPr>
    </w:p>
    <w:p w14:paraId="3BD011CC">
      <w:pPr>
        <w:spacing w:line="254" w:lineRule="auto"/>
        <w:rPr>
          <w:color w:val="auto"/>
          <w:highlight w:val="none"/>
        </w:rPr>
      </w:pPr>
    </w:p>
    <w:p w14:paraId="180BA96B">
      <w:pPr>
        <w:spacing w:line="254" w:lineRule="auto"/>
        <w:rPr>
          <w:color w:val="auto"/>
          <w:highlight w:val="none"/>
        </w:rPr>
      </w:pPr>
    </w:p>
    <w:p w14:paraId="0F1AE617">
      <w:pPr>
        <w:spacing w:before="79" w:line="220" w:lineRule="auto"/>
        <w:ind w:left="998"/>
        <w:rPr>
          <w:rFonts w:ascii="宋体" w:hAnsi="宋体" w:cs="宋体"/>
          <w:color w:val="auto"/>
          <w:sz w:val="24"/>
          <w:highlight w:val="none"/>
        </w:rPr>
      </w:pPr>
    </w:p>
    <w:p w14:paraId="60CEC3E1">
      <w:pPr>
        <w:rPr>
          <w:color w:val="auto"/>
          <w:highlight w:val="none"/>
        </w:rPr>
        <w:sectPr>
          <w:footerReference r:id="rId4" w:type="default"/>
          <w:pgSz w:w="11907" w:h="16839"/>
          <w:pgMar w:top="1118" w:right="1769" w:bottom="1233" w:left="1771" w:header="877" w:footer="982" w:gutter="0"/>
          <w:pgNumType w:fmt="decimal" w:start="1"/>
          <w:cols w:space="720" w:num="1"/>
        </w:sectPr>
      </w:pPr>
    </w:p>
    <w:p w14:paraId="58463167">
      <w:pPr>
        <w:pStyle w:val="2"/>
        <w:bidi w:val="0"/>
        <w:ind w:left="0" w:firstLine="0"/>
        <w:rPr>
          <w:rFonts w:hint="eastAsia" w:ascii="宋体" w:hAnsi="宋体" w:eastAsia="宋体" w:cs="宋体"/>
          <w:b/>
          <w:color w:val="auto"/>
          <w:sz w:val="24"/>
          <w:szCs w:val="24"/>
          <w:highlight w:val="none"/>
        </w:rPr>
      </w:pPr>
      <w:bookmarkStart w:id="38" w:name="_Toc4918"/>
      <w:r>
        <w:rPr>
          <w:rFonts w:hint="eastAsia" w:ascii="Arial" w:hAnsi="Arial" w:eastAsia="宋体"/>
          <w:lang w:val="en-US" w:eastAsia="zh-CN"/>
        </w:rPr>
        <w:t>第五章</w:t>
      </w:r>
      <w:r>
        <w:rPr>
          <w:rFonts w:hint="eastAsia" w:ascii="Arial" w:hAnsi="Arial" w:eastAsia="宋体"/>
          <w:lang w:eastAsia="zh-CN"/>
        </w:rPr>
        <w:t xml:space="preserve"> 采购</w:t>
      </w:r>
      <w:r>
        <w:rPr>
          <w:rFonts w:hint="eastAsia" w:ascii="Arial" w:hAnsi="Arial" w:eastAsia="宋体"/>
          <w:lang w:val="en-US" w:eastAsia="zh-CN"/>
        </w:rPr>
        <w:t>需求</w:t>
      </w:r>
      <w:bookmarkEnd w:id="38"/>
    </w:p>
    <w:p w14:paraId="772DC48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执行国家最新技术标准，医院</w:t>
      </w:r>
      <w:r>
        <w:rPr>
          <w:rFonts w:hint="eastAsia" w:ascii="宋体" w:hAnsi="宋体" w:eastAsia="宋体" w:cs="宋体"/>
          <w:color w:val="auto"/>
          <w:sz w:val="24"/>
          <w:szCs w:val="32"/>
          <w:highlight w:val="none"/>
          <w:lang w:eastAsia="zh-CN"/>
        </w:rPr>
        <w:t>健康</w:t>
      </w:r>
      <w:r>
        <w:rPr>
          <w:rFonts w:hint="eastAsia" w:ascii="宋体" w:hAnsi="宋体" w:eastAsia="宋体" w:cs="宋体"/>
          <w:color w:val="auto"/>
          <w:sz w:val="24"/>
          <w:szCs w:val="32"/>
          <w:highlight w:val="none"/>
          <w:lang w:val="en-US" w:eastAsia="zh-CN"/>
        </w:rPr>
        <w:t>体检</w:t>
      </w:r>
      <w:r>
        <w:rPr>
          <w:rFonts w:hint="eastAsia" w:ascii="宋体" w:hAnsi="宋体" w:eastAsia="宋体" w:cs="宋体"/>
          <w:color w:val="auto"/>
          <w:sz w:val="24"/>
          <w:szCs w:val="32"/>
          <w:highlight w:val="none"/>
          <w:lang w:eastAsia="zh-CN"/>
        </w:rPr>
        <w:t>中心</w:t>
      </w:r>
      <w:r>
        <w:rPr>
          <w:rFonts w:hint="eastAsia" w:ascii="宋体" w:hAnsi="宋体" w:eastAsia="宋体" w:cs="宋体"/>
          <w:color w:val="auto"/>
          <w:sz w:val="24"/>
          <w:szCs w:val="32"/>
          <w:highlight w:val="none"/>
        </w:rPr>
        <w:t>实施信息管理系统，</w:t>
      </w:r>
      <w:r>
        <w:rPr>
          <w:rFonts w:hint="eastAsia" w:ascii="宋体" w:hAnsi="宋体" w:eastAsia="宋体" w:cs="宋体"/>
          <w:color w:val="auto"/>
          <w:sz w:val="24"/>
          <w:szCs w:val="32"/>
          <w:highlight w:val="none"/>
          <w:lang w:val="en-US" w:eastAsia="zh-CN"/>
        </w:rPr>
        <w:t>满足医院健康体检中心开展职业病</w:t>
      </w:r>
      <w:r>
        <w:rPr>
          <w:rFonts w:hint="eastAsia" w:ascii="宋体" w:hAnsi="宋体" w:eastAsia="宋体" w:cs="宋体"/>
          <w:color w:val="auto"/>
          <w:sz w:val="24"/>
          <w:szCs w:val="32"/>
          <w:highlight w:val="none"/>
        </w:rPr>
        <w:t>日常工作流程中信息无纸化、</w:t>
      </w:r>
      <w:r>
        <w:rPr>
          <w:rFonts w:hint="eastAsia" w:ascii="宋体" w:hAnsi="宋体" w:eastAsia="宋体" w:cs="宋体"/>
          <w:color w:val="auto"/>
          <w:sz w:val="24"/>
          <w:szCs w:val="32"/>
          <w:highlight w:val="none"/>
          <w:lang w:val="en-US" w:eastAsia="zh-CN"/>
        </w:rPr>
        <w:t>数据化</w:t>
      </w:r>
      <w:r>
        <w:rPr>
          <w:rFonts w:hint="eastAsia" w:ascii="宋体" w:hAnsi="宋体" w:eastAsia="宋体" w:cs="宋体"/>
          <w:color w:val="auto"/>
          <w:sz w:val="24"/>
          <w:szCs w:val="32"/>
          <w:highlight w:val="none"/>
        </w:rPr>
        <w:t>，达到健康管理、疾病管理的目标，从而提高我院</w:t>
      </w:r>
      <w:r>
        <w:rPr>
          <w:rFonts w:hint="eastAsia" w:ascii="宋体" w:hAnsi="宋体" w:eastAsia="宋体" w:cs="宋体"/>
          <w:color w:val="auto"/>
          <w:sz w:val="24"/>
          <w:szCs w:val="32"/>
          <w:highlight w:val="none"/>
          <w:lang w:eastAsia="zh-CN"/>
        </w:rPr>
        <w:t>健康</w:t>
      </w:r>
      <w:r>
        <w:rPr>
          <w:rFonts w:hint="eastAsia" w:ascii="宋体" w:hAnsi="宋体" w:eastAsia="宋体" w:cs="宋体"/>
          <w:color w:val="auto"/>
          <w:sz w:val="24"/>
          <w:szCs w:val="32"/>
          <w:highlight w:val="none"/>
          <w:lang w:val="en-US" w:eastAsia="zh-CN"/>
        </w:rPr>
        <w:t>体检</w:t>
      </w:r>
      <w:r>
        <w:rPr>
          <w:rFonts w:hint="eastAsia" w:ascii="宋体" w:hAnsi="宋体" w:eastAsia="宋体" w:cs="宋体"/>
          <w:color w:val="auto"/>
          <w:sz w:val="24"/>
          <w:szCs w:val="32"/>
          <w:highlight w:val="none"/>
        </w:rPr>
        <w:t>中心技术水平、服务水平、学术水平。</w:t>
      </w:r>
    </w:p>
    <w:p w14:paraId="31F7FD9D">
      <w:pPr>
        <w:spacing w:line="360" w:lineRule="auto"/>
        <w:ind w:firstLine="480" w:firstLineChars="200"/>
        <w:rPr>
          <w:color w:val="auto"/>
          <w:highlight w:val="none"/>
        </w:rPr>
      </w:pPr>
      <w:r>
        <w:rPr>
          <w:rFonts w:hint="eastAsia" w:ascii="宋体" w:hAnsi="宋体" w:eastAsia="宋体" w:cs="宋体"/>
          <w:color w:val="auto"/>
          <w:sz w:val="24"/>
          <w:szCs w:val="32"/>
          <w:highlight w:val="none"/>
          <w:lang w:val="en-US" w:eastAsia="zh-CN"/>
        </w:rPr>
        <w:t>*</w:t>
      </w:r>
      <w:r>
        <w:rPr>
          <w:rFonts w:hint="eastAsia" w:ascii="宋体" w:hAnsi="宋体" w:eastAsia="宋体" w:cs="宋体"/>
          <w:b/>
          <w:bCs/>
          <w:color w:val="auto"/>
          <w:sz w:val="24"/>
          <w:szCs w:val="32"/>
          <w:highlight w:val="none"/>
        </w:rPr>
        <w:t>采用B/S架构</w:t>
      </w:r>
      <w:r>
        <w:rPr>
          <w:rFonts w:hint="eastAsia" w:ascii="宋体" w:hAnsi="宋体" w:eastAsia="宋体" w:cs="宋体"/>
          <w:color w:val="auto"/>
          <w:sz w:val="24"/>
          <w:szCs w:val="32"/>
          <w:highlight w:val="none"/>
        </w:rPr>
        <w:t>、开放式系统设计结构，基于Java等开放式平台开发，具备容器化部署，具备业务和管理的多级管理和权限控制功能，具有良好的第三方系统互联互通能力，以适应智慧医院不同需求；</w:t>
      </w:r>
    </w:p>
    <w:tbl>
      <w:tblPr>
        <w:tblStyle w:val="19"/>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445"/>
        <w:gridCol w:w="6911"/>
      </w:tblGrid>
      <w:tr w14:paraId="4824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02" w:type="dxa"/>
            <w:vAlign w:val="center"/>
          </w:tcPr>
          <w:p w14:paraId="28B8BD0C">
            <w:pPr>
              <w:spacing w:line="360" w:lineRule="auto"/>
              <w:jc w:val="center"/>
              <w:rPr>
                <w:color w:val="auto"/>
                <w:highlight w:val="none"/>
                <w:vertAlign w:val="baseline"/>
              </w:rPr>
            </w:pPr>
            <w:r>
              <w:rPr>
                <w:rFonts w:hint="eastAsia" w:ascii="宋体" w:hAnsi="宋体" w:eastAsia="宋体" w:cs="宋体"/>
                <w:color w:val="auto"/>
                <w:sz w:val="21"/>
                <w:szCs w:val="21"/>
                <w:highlight w:val="none"/>
              </w:rPr>
              <w:t>序号</w:t>
            </w:r>
          </w:p>
        </w:tc>
        <w:tc>
          <w:tcPr>
            <w:tcW w:w="1445" w:type="dxa"/>
            <w:vAlign w:val="center"/>
          </w:tcPr>
          <w:p w14:paraId="79F61B50">
            <w:pPr>
              <w:spacing w:line="360" w:lineRule="auto"/>
              <w:jc w:val="center"/>
              <w:rPr>
                <w:color w:val="auto"/>
                <w:highlight w:val="none"/>
                <w:vertAlign w:val="baseline"/>
              </w:rPr>
            </w:pPr>
            <w:r>
              <w:rPr>
                <w:rFonts w:hint="eastAsia" w:ascii="宋体" w:hAnsi="宋体" w:eastAsia="宋体" w:cs="宋体"/>
                <w:color w:val="auto"/>
                <w:sz w:val="21"/>
                <w:szCs w:val="21"/>
                <w:highlight w:val="none"/>
              </w:rPr>
              <w:t>模块</w:t>
            </w:r>
          </w:p>
        </w:tc>
        <w:tc>
          <w:tcPr>
            <w:tcW w:w="6911" w:type="dxa"/>
            <w:vAlign w:val="center"/>
          </w:tcPr>
          <w:p w14:paraId="5A9A3F58">
            <w:pPr>
              <w:spacing w:line="360" w:lineRule="auto"/>
              <w:jc w:val="center"/>
              <w:rPr>
                <w:color w:val="auto"/>
                <w:highlight w:val="none"/>
                <w:vertAlign w:val="baseline"/>
              </w:rPr>
            </w:pPr>
            <w:r>
              <w:rPr>
                <w:rFonts w:hint="eastAsia" w:ascii="宋体" w:hAnsi="宋体" w:eastAsia="宋体" w:cs="宋体"/>
                <w:color w:val="auto"/>
                <w:sz w:val="21"/>
                <w:szCs w:val="21"/>
                <w:highlight w:val="none"/>
              </w:rPr>
              <w:t>参数简述</w:t>
            </w:r>
          </w:p>
        </w:tc>
      </w:tr>
      <w:tr w14:paraId="6689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02" w:type="dxa"/>
            <w:vAlign w:val="center"/>
          </w:tcPr>
          <w:p w14:paraId="5123F320">
            <w:pPr>
              <w:numPr>
                <w:ilvl w:val="0"/>
                <w:numId w:val="2"/>
              </w:numPr>
              <w:ind w:left="425" w:leftChars="0" w:hanging="425" w:firstLineChars="0"/>
              <w:jc w:val="center"/>
              <w:rPr>
                <w:color w:val="auto"/>
                <w:highlight w:val="none"/>
                <w:vertAlign w:val="baseline"/>
              </w:rPr>
            </w:pPr>
          </w:p>
        </w:tc>
        <w:tc>
          <w:tcPr>
            <w:tcW w:w="1445" w:type="dxa"/>
            <w:vAlign w:val="center"/>
          </w:tcPr>
          <w:p w14:paraId="4EDD7E9A">
            <w:pPr>
              <w:spacing w:line="360" w:lineRule="auto"/>
              <w:jc w:val="center"/>
              <w:rPr>
                <w:color w:val="auto"/>
                <w:highlight w:val="none"/>
                <w:vertAlign w:val="baseline"/>
              </w:rPr>
            </w:pPr>
            <w:r>
              <w:rPr>
                <w:rFonts w:hint="eastAsia" w:ascii="宋体" w:hAnsi="宋体" w:eastAsia="宋体" w:cs="宋体"/>
                <w:color w:val="auto"/>
                <w:sz w:val="21"/>
                <w:szCs w:val="21"/>
                <w:highlight w:val="none"/>
              </w:rPr>
              <w:t>系统管理</w:t>
            </w:r>
          </w:p>
        </w:tc>
        <w:tc>
          <w:tcPr>
            <w:tcW w:w="6911" w:type="dxa"/>
            <w:vAlign w:val="center"/>
          </w:tcPr>
          <w:p w14:paraId="43377C3B">
            <w:pPr>
              <w:widowControl/>
              <w:numPr>
                <w:ilvl w:val="0"/>
                <w:numId w:val="3"/>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支持对组织、用户信息、用户授权、角色授权、医生签名设定等进行自主设定与维护。</w:t>
            </w:r>
          </w:p>
          <w:p w14:paraId="29EFEADB">
            <w:pPr>
              <w:widowControl/>
              <w:numPr>
                <w:ilvl w:val="0"/>
                <w:numId w:val="3"/>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支持用户密码修改、密码重置服务。</w:t>
            </w:r>
          </w:p>
          <w:p w14:paraId="3C8001FE">
            <w:pPr>
              <w:widowControl/>
              <w:numPr>
                <w:ilvl w:val="0"/>
                <w:numId w:val="3"/>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支持对于系统运行所需的定时作业、对接设定、标准更新、代码对照等进行自主集中维护与调整。</w:t>
            </w:r>
          </w:p>
          <w:p w14:paraId="0335A4B6">
            <w:pPr>
              <w:widowControl/>
              <w:numPr>
                <w:ilvl w:val="0"/>
                <w:numId w:val="3"/>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支持与用户相关系统运行环境设定，如打印机、读卡器、等个性化设定。</w:t>
            </w:r>
          </w:p>
          <w:p w14:paraId="2FEB9905">
            <w:pPr>
              <w:spacing w:line="360" w:lineRule="auto"/>
              <w:jc w:val="left"/>
              <w:rPr>
                <w:color w:val="auto"/>
                <w:highlight w:val="none"/>
                <w:vertAlign w:val="baseline"/>
              </w:rPr>
            </w:pPr>
            <w:r>
              <w:rPr>
                <w:rFonts w:hint="eastAsia" w:ascii="宋体" w:hAnsi="宋体" w:eastAsia="宋体" w:cs="宋体"/>
                <w:color w:val="auto"/>
                <w:sz w:val="21"/>
                <w:szCs w:val="21"/>
                <w:highlight w:val="none"/>
              </w:rPr>
              <w:t>5、系统具备完善的权限管理机制，能够进行菜单权限管理、医生的科室权限限制、体检人员类别分级管理，对所有检查结果的改动具有合理的控制功能，防止检查结果的随意修改，防止总检结论等明显结果由于改动而造成的不一致；要求软件具有日志管理功能;</w:t>
            </w:r>
          </w:p>
        </w:tc>
      </w:tr>
      <w:tr w14:paraId="7A67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02" w:type="dxa"/>
            <w:vAlign w:val="center"/>
          </w:tcPr>
          <w:p w14:paraId="7AC3678E">
            <w:pPr>
              <w:numPr>
                <w:ilvl w:val="0"/>
                <w:numId w:val="2"/>
              </w:numPr>
              <w:ind w:left="425" w:leftChars="0" w:hanging="425" w:firstLineChars="0"/>
              <w:jc w:val="center"/>
              <w:rPr>
                <w:color w:val="auto"/>
                <w:highlight w:val="none"/>
                <w:vertAlign w:val="baseline"/>
              </w:rPr>
            </w:pPr>
          </w:p>
        </w:tc>
        <w:tc>
          <w:tcPr>
            <w:tcW w:w="1445" w:type="dxa"/>
            <w:vAlign w:val="center"/>
          </w:tcPr>
          <w:p w14:paraId="0D8E9734">
            <w:pPr>
              <w:spacing w:line="360" w:lineRule="auto"/>
              <w:jc w:val="center"/>
              <w:rPr>
                <w:color w:val="auto"/>
                <w:highlight w:val="none"/>
                <w:vertAlign w:val="baseline"/>
              </w:rPr>
            </w:pPr>
            <w:r>
              <w:rPr>
                <w:rFonts w:hint="eastAsia" w:ascii="宋体" w:hAnsi="宋体" w:eastAsia="宋体" w:cs="宋体"/>
                <w:color w:val="auto"/>
                <w:sz w:val="21"/>
                <w:szCs w:val="21"/>
                <w:highlight w:val="none"/>
              </w:rPr>
              <w:t>基础资料管理</w:t>
            </w:r>
          </w:p>
        </w:tc>
        <w:tc>
          <w:tcPr>
            <w:tcW w:w="6911" w:type="dxa"/>
            <w:vAlign w:val="center"/>
          </w:tcPr>
          <w:p w14:paraId="4028F833">
            <w:pPr>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1、建立完善的企业历史信息，实现对企业职业健康监护情况的连续性监测。</w:t>
            </w:r>
            <w:r>
              <w:rPr>
                <w:rFonts w:hint="eastAsia" w:ascii="宋体" w:hAnsi="宋体" w:eastAsia="宋体" w:cs="宋体"/>
                <w:color w:val="auto"/>
                <w:sz w:val="21"/>
                <w:szCs w:val="21"/>
                <w:highlight w:val="none"/>
                <w:lang w:val="zh-CN"/>
              </w:rPr>
              <w:t>实现受检单位自主管理，记录企业详细信息。并实现企业信息连续性动态管理。</w:t>
            </w:r>
          </w:p>
          <w:p w14:paraId="06E5277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2、支持管理科室、体检诊室管理，可设定科室名称、排序、体检提示等。</w:t>
            </w:r>
          </w:p>
          <w:p w14:paraId="583C349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3、支持体检项目、判定模式、标准值、计算公式、常用语描述模版、采集部位、显示顺序、危急值等设定。</w:t>
            </w:r>
          </w:p>
          <w:p w14:paraId="20AE182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4、支持体检涉及收费项目设定，可根据缴费科室、收费类别、计费类型等进行个性化设定。</w:t>
            </w:r>
          </w:p>
          <w:p w14:paraId="5A5C217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5、支持体检项目组合，条形码分配、采血提示、体检项目关联、项目收费关联等设定。</w:t>
            </w:r>
          </w:p>
          <w:p w14:paraId="45752E6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6、支持体检各类报表统计与导出。</w:t>
            </w:r>
          </w:p>
          <w:p w14:paraId="2895D8C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w:t>
            </w:r>
            <w:r>
              <w:rPr>
                <w:rFonts w:hint="eastAsia" w:ascii="宋体" w:hAnsi="宋体" w:cs="宋体"/>
                <w:color w:val="auto"/>
                <w:sz w:val="21"/>
                <w:szCs w:val="21"/>
                <w:highlight w:val="none"/>
                <w:lang w:val="en-US" w:eastAsia="zh-CN"/>
              </w:rPr>
              <w:t>最新</w:t>
            </w:r>
            <w:r>
              <w:rPr>
                <w:rFonts w:hint="eastAsia" w:ascii="宋体" w:hAnsi="宋体" w:eastAsia="宋体" w:cs="宋体"/>
                <w:color w:val="auto"/>
                <w:sz w:val="21"/>
                <w:szCs w:val="21"/>
                <w:highlight w:val="none"/>
              </w:rPr>
              <w:t>职业健康监护规范（GBZ188）内置集成，集成现行有效标准（体检、诊断），支持相关职检标准后续自动升级；支持非标项目自行维护。</w:t>
            </w:r>
          </w:p>
          <w:p w14:paraId="2F210E7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8、支持职业健康处理建议、职业卫生资质、复查频次、定期复查要求等自行维护，并后续关联业务及查询统计。</w:t>
            </w:r>
          </w:p>
          <w:p w14:paraId="69A61092">
            <w:pPr>
              <w:spacing w:line="360" w:lineRule="auto"/>
              <w:jc w:val="left"/>
              <w:rPr>
                <w:color w:val="auto"/>
                <w:highlight w:val="none"/>
                <w:vertAlign w:val="baseline"/>
              </w:rPr>
            </w:pPr>
            <w:r>
              <w:rPr>
                <w:rFonts w:hint="eastAsia" w:ascii="宋体" w:hAnsi="宋体" w:eastAsia="宋体" w:cs="宋体"/>
                <w:color w:val="auto"/>
                <w:sz w:val="21"/>
                <w:szCs w:val="21"/>
                <w:highlight w:val="none"/>
              </w:rPr>
              <w:t>9、国家重点职业病监测工作采集信息数据规范前置，支持码表维护、必输内容控制等设定。</w:t>
            </w:r>
          </w:p>
        </w:tc>
      </w:tr>
      <w:tr w14:paraId="7062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02" w:type="dxa"/>
            <w:vAlign w:val="center"/>
          </w:tcPr>
          <w:p w14:paraId="6290A2AB">
            <w:pPr>
              <w:numPr>
                <w:ilvl w:val="0"/>
                <w:numId w:val="2"/>
              </w:numPr>
              <w:ind w:left="425" w:leftChars="0" w:hanging="425" w:firstLineChars="0"/>
              <w:jc w:val="center"/>
              <w:rPr>
                <w:color w:val="auto"/>
                <w:highlight w:val="none"/>
                <w:vertAlign w:val="baseline"/>
              </w:rPr>
            </w:pPr>
          </w:p>
        </w:tc>
        <w:tc>
          <w:tcPr>
            <w:tcW w:w="1445" w:type="dxa"/>
            <w:vAlign w:val="center"/>
          </w:tcPr>
          <w:p w14:paraId="330E8B6F">
            <w:pPr>
              <w:spacing w:line="360" w:lineRule="auto"/>
              <w:jc w:val="center"/>
              <w:rPr>
                <w:color w:val="auto"/>
                <w:highlight w:val="none"/>
                <w:vertAlign w:val="baseline"/>
              </w:rPr>
            </w:pPr>
            <w:r>
              <w:rPr>
                <w:rFonts w:hint="eastAsia" w:ascii="宋体" w:hAnsi="宋体" w:eastAsia="宋体" w:cs="宋体"/>
                <w:color w:val="auto"/>
                <w:sz w:val="21"/>
                <w:szCs w:val="21"/>
                <w:highlight w:val="none"/>
              </w:rPr>
              <w:t>劳动者监护管理</w:t>
            </w:r>
          </w:p>
        </w:tc>
        <w:tc>
          <w:tcPr>
            <w:tcW w:w="6911" w:type="dxa"/>
            <w:vAlign w:val="center"/>
          </w:tcPr>
          <w:p w14:paraId="1C8E3EE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1、劳动者在体检登记的同时由系统自动生成完整、规范的职业健康档案，内容包括：档案基本信息、职业史、家族史、烟酒史、月经史、既往病史、既往职业病史等。</w:t>
            </w:r>
          </w:p>
          <w:p w14:paraId="5F3B3FEA">
            <w:pPr>
              <w:spacing w:line="360" w:lineRule="auto"/>
              <w:jc w:val="left"/>
              <w:rPr>
                <w:color w:val="auto"/>
                <w:highlight w:val="none"/>
                <w:vertAlign w:val="baseline"/>
              </w:rPr>
            </w:pPr>
            <w:r>
              <w:rPr>
                <w:rFonts w:hint="eastAsia" w:ascii="宋体" w:hAnsi="宋体" w:eastAsia="宋体" w:cs="宋体"/>
                <w:color w:val="auto"/>
                <w:sz w:val="21"/>
                <w:szCs w:val="21"/>
                <w:highlight w:val="none"/>
              </w:rPr>
              <w:t xml:space="preserve">2、系统记录劳动者历年体检信息，保证职业健康档案的连续性，实现体检信息的对比。 </w:t>
            </w:r>
          </w:p>
        </w:tc>
      </w:tr>
      <w:tr w14:paraId="2D42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02" w:type="dxa"/>
            <w:vAlign w:val="center"/>
          </w:tcPr>
          <w:p w14:paraId="3741E753">
            <w:pPr>
              <w:numPr>
                <w:ilvl w:val="0"/>
                <w:numId w:val="2"/>
              </w:numPr>
              <w:ind w:left="425" w:leftChars="0" w:hanging="425" w:firstLineChars="0"/>
              <w:jc w:val="center"/>
              <w:rPr>
                <w:color w:val="auto"/>
                <w:highlight w:val="none"/>
                <w:vertAlign w:val="baseline"/>
              </w:rPr>
            </w:pPr>
          </w:p>
        </w:tc>
        <w:tc>
          <w:tcPr>
            <w:tcW w:w="1445" w:type="dxa"/>
            <w:vAlign w:val="center"/>
          </w:tcPr>
          <w:p w14:paraId="122F77D1">
            <w:pPr>
              <w:spacing w:line="360" w:lineRule="auto"/>
              <w:jc w:val="center"/>
              <w:rPr>
                <w:color w:val="auto"/>
                <w:highlight w:val="none"/>
                <w:vertAlign w:val="baseline"/>
              </w:rPr>
            </w:pPr>
            <w:r>
              <w:rPr>
                <w:rFonts w:hint="eastAsia" w:ascii="宋体" w:hAnsi="宋体" w:eastAsia="宋体" w:cs="宋体"/>
                <w:color w:val="auto"/>
                <w:sz w:val="21"/>
                <w:szCs w:val="21"/>
                <w:highlight w:val="none"/>
              </w:rPr>
              <w:t>体检套餐</w:t>
            </w:r>
          </w:p>
        </w:tc>
        <w:tc>
          <w:tcPr>
            <w:tcW w:w="6911" w:type="dxa"/>
            <w:vAlign w:val="center"/>
          </w:tcPr>
          <w:p w14:paraId="504D2EB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1、支持根据</w:t>
            </w:r>
            <w:r>
              <w:rPr>
                <w:rFonts w:hint="eastAsia" w:ascii="宋体" w:hAnsi="宋体" w:cs="宋体"/>
                <w:color w:val="auto"/>
                <w:sz w:val="21"/>
                <w:szCs w:val="21"/>
                <w:highlight w:val="none"/>
                <w:lang w:val="en-US" w:eastAsia="zh-CN"/>
              </w:rPr>
              <w:t>最新</w:t>
            </w:r>
            <w:r>
              <w:rPr>
                <w:rFonts w:hint="eastAsia" w:ascii="宋体" w:hAnsi="宋体" w:eastAsia="宋体" w:cs="宋体"/>
                <w:color w:val="auto"/>
                <w:sz w:val="21"/>
                <w:szCs w:val="21"/>
                <w:highlight w:val="none"/>
              </w:rPr>
              <w:t>GBZ-188职业健康监护技术规范的要求，自动生成体检套餐、提示必检、选检项目。</w:t>
            </w:r>
          </w:p>
          <w:p w14:paraId="5358983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2、支持体检项目与收费项目智能关联、手动调整，支持协议费用、单项或批量折扣等。</w:t>
            </w:r>
          </w:p>
          <w:p w14:paraId="2AC8260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3、支持体检方案连续性变更管理以及历史查询，支持套餐快速复制应用、套餐项目复核等。</w:t>
            </w:r>
          </w:p>
          <w:p w14:paraId="60163CB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4、支持职业健康检查、一般健康体检套餐组合设定等。</w:t>
            </w:r>
          </w:p>
          <w:p w14:paraId="0C5CAA81">
            <w:pPr>
              <w:spacing w:line="360" w:lineRule="auto"/>
              <w:jc w:val="left"/>
              <w:rPr>
                <w:color w:val="auto"/>
                <w:highlight w:val="none"/>
                <w:vertAlign w:val="baseline"/>
              </w:rPr>
            </w:pPr>
            <w:r>
              <w:rPr>
                <w:rFonts w:hint="eastAsia" w:ascii="宋体" w:hAnsi="宋体" w:eastAsia="宋体" w:cs="宋体"/>
                <w:color w:val="auto"/>
                <w:sz w:val="21"/>
                <w:szCs w:val="21"/>
                <w:highlight w:val="none"/>
              </w:rPr>
              <w:t>5、支持自定义体检套餐功能，可根据业务需要设定通用或企业定制套餐，关联合同。</w:t>
            </w:r>
          </w:p>
        </w:tc>
      </w:tr>
      <w:tr w14:paraId="4F3F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02" w:type="dxa"/>
            <w:vAlign w:val="center"/>
          </w:tcPr>
          <w:p w14:paraId="0128C82B">
            <w:pPr>
              <w:numPr>
                <w:ilvl w:val="0"/>
                <w:numId w:val="2"/>
              </w:numPr>
              <w:ind w:left="425" w:leftChars="0" w:hanging="425" w:firstLineChars="0"/>
              <w:jc w:val="center"/>
              <w:rPr>
                <w:color w:val="auto"/>
                <w:highlight w:val="none"/>
                <w:vertAlign w:val="baseline"/>
              </w:rPr>
            </w:pPr>
          </w:p>
        </w:tc>
        <w:tc>
          <w:tcPr>
            <w:tcW w:w="1445" w:type="dxa"/>
            <w:vAlign w:val="center"/>
          </w:tcPr>
          <w:p w14:paraId="6EA7775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体检登记</w:t>
            </w:r>
          </w:p>
          <w:p w14:paraId="70EB3332">
            <w:pPr>
              <w:spacing w:line="360" w:lineRule="auto"/>
              <w:jc w:val="left"/>
              <w:rPr>
                <w:rFonts w:hint="eastAsia" w:ascii="宋体" w:hAnsi="宋体" w:eastAsia="宋体" w:cs="宋体"/>
                <w:color w:val="auto"/>
                <w:sz w:val="21"/>
                <w:szCs w:val="21"/>
                <w:highlight w:val="none"/>
              </w:rPr>
            </w:pPr>
          </w:p>
          <w:p w14:paraId="4B4E0314">
            <w:pPr>
              <w:spacing w:line="360" w:lineRule="auto"/>
              <w:jc w:val="both"/>
              <w:rPr>
                <w:color w:val="auto"/>
                <w:highlight w:val="none"/>
                <w:vertAlign w:val="baseline"/>
              </w:rPr>
            </w:pPr>
          </w:p>
        </w:tc>
        <w:tc>
          <w:tcPr>
            <w:tcW w:w="6911" w:type="dxa"/>
            <w:vAlign w:val="center"/>
          </w:tcPr>
          <w:p w14:paraId="235B9366">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1、支持体检人员职业健康检查登记、包括临时登记以及已预约人员到检登记，支持身份证读卡采集体检人员基本信息和手工输入相关信息，支持打印流转单、条形码打印。</w:t>
            </w:r>
          </w:p>
          <w:p w14:paraId="7F5C4997">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2、支持人员身份证唯一识别</w:t>
            </w:r>
          </w:p>
          <w:p w14:paraId="6B931434">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3、支持现场拍照功能，支持体检各科室查看照片，并且支持打印带有照片的体检报告。</w:t>
            </w:r>
          </w:p>
          <w:p w14:paraId="61F6894E">
            <w:pP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4、支持体检人员进行体检复查流程管理。</w:t>
            </w:r>
          </w:p>
          <w:p w14:paraId="3FDAC68D">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、支持临时备案以及批量登记多种模式体检前处理准备工作。</w:t>
            </w:r>
          </w:p>
          <w:p w14:paraId="51366C36">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、支持体检受检者体检信息自动导入、信息正确性校验，根据在岗状态、有害因素、体检方案自动应用检查项目完成登记，打印指引单及检验条码。</w:t>
            </w:r>
          </w:p>
          <w:p w14:paraId="2510AC95">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、支持批量信息导入。</w:t>
            </w:r>
          </w:p>
          <w:p w14:paraId="2E514272">
            <w:pPr>
              <w:spacing w:line="360" w:lineRule="auto"/>
              <w:jc w:val="left"/>
              <w:rPr>
                <w:color w:val="auto"/>
                <w:highlight w:val="none"/>
                <w:vertAlign w:val="baseli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、支持批量导入时错误信息一键过滤导出。</w:t>
            </w:r>
          </w:p>
        </w:tc>
      </w:tr>
      <w:tr w14:paraId="30B7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02" w:type="dxa"/>
            <w:vAlign w:val="center"/>
          </w:tcPr>
          <w:p w14:paraId="79692FB4">
            <w:pPr>
              <w:numPr>
                <w:ilvl w:val="0"/>
                <w:numId w:val="2"/>
              </w:numPr>
              <w:ind w:left="425" w:leftChars="0" w:hanging="425" w:firstLineChars="0"/>
              <w:jc w:val="center"/>
              <w:rPr>
                <w:color w:val="auto"/>
                <w:highlight w:val="none"/>
                <w:vertAlign w:val="baseline"/>
              </w:rPr>
            </w:pPr>
          </w:p>
        </w:tc>
        <w:tc>
          <w:tcPr>
            <w:tcW w:w="1445" w:type="dxa"/>
            <w:vAlign w:val="center"/>
          </w:tcPr>
          <w:p w14:paraId="7997F00F">
            <w:pPr>
              <w:spacing w:line="360" w:lineRule="auto"/>
              <w:jc w:val="center"/>
              <w:rPr>
                <w:color w:val="auto"/>
                <w:highlight w:val="none"/>
                <w:vertAlign w:val="baseline"/>
              </w:rPr>
            </w:pPr>
            <w:r>
              <w:rPr>
                <w:rFonts w:hint="eastAsia" w:ascii="宋体" w:hAnsi="宋体" w:eastAsia="宋体" w:cs="宋体"/>
                <w:color w:val="auto"/>
                <w:sz w:val="21"/>
                <w:szCs w:val="21"/>
                <w:highlight w:val="none"/>
              </w:rPr>
              <w:t>职检问诊</w:t>
            </w:r>
          </w:p>
        </w:tc>
        <w:tc>
          <w:tcPr>
            <w:tcW w:w="6911" w:type="dxa"/>
            <w:vAlign w:val="center"/>
          </w:tcPr>
          <w:p w14:paraId="12C200A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1、支持自觉症状关联规范自动提醒。</w:t>
            </w:r>
          </w:p>
          <w:p w14:paraId="4FE735C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2、支持问诊信息模板导入。</w:t>
            </w:r>
          </w:p>
          <w:p w14:paraId="57F5DFD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3、支持历史问诊信息导入应用。</w:t>
            </w:r>
          </w:p>
          <w:p w14:paraId="3928CC7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4、支持特定危害因素重点问诊内容提醒。</w:t>
            </w:r>
          </w:p>
          <w:p w14:paraId="7DF9FD4A">
            <w:pPr>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5、</w:t>
            </w:r>
            <w:r>
              <w:rPr>
                <w:rFonts w:hint="eastAsia"/>
                <w:color w:val="auto"/>
                <w:highlight w:val="none"/>
              </w:rPr>
              <w:t>职业病病问卷信息可以通过微信端让单位人员自助预先填写。</w:t>
            </w:r>
          </w:p>
        </w:tc>
      </w:tr>
      <w:tr w14:paraId="4361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02" w:type="dxa"/>
            <w:vAlign w:val="center"/>
          </w:tcPr>
          <w:p w14:paraId="1E05A6B2">
            <w:pPr>
              <w:numPr>
                <w:ilvl w:val="0"/>
                <w:numId w:val="2"/>
              </w:numPr>
              <w:ind w:left="425" w:leftChars="0" w:hanging="425" w:firstLineChars="0"/>
              <w:jc w:val="center"/>
              <w:rPr>
                <w:color w:val="auto"/>
                <w:highlight w:val="none"/>
                <w:vertAlign w:val="baseline"/>
              </w:rPr>
            </w:pPr>
          </w:p>
        </w:tc>
        <w:tc>
          <w:tcPr>
            <w:tcW w:w="1445" w:type="dxa"/>
            <w:vAlign w:val="center"/>
          </w:tcPr>
          <w:p w14:paraId="0131C34F">
            <w:pPr>
              <w:spacing w:line="360" w:lineRule="auto"/>
              <w:jc w:val="center"/>
              <w:rPr>
                <w:color w:val="auto"/>
                <w:highlight w:val="none"/>
                <w:vertAlign w:val="baseline"/>
              </w:rPr>
            </w:pPr>
            <w:r>
              <w:rPr>
                <w:rFonts w:hint="eastAsia" w:ascii="宋体" w:hAnsi="宋体" w:eastAsia="宋体" w:cs="宋体"/>
                <w:color w:val="auto"/>
                <w:sz w:val="21"/>
                <w:szCs w:val="21"/>
                <w:highlight w:val="none"/>
              </w:rPr>
              <w:t>标本采集</w:t>
            </w:r>
          </w:p>
        </w:tc>
        <w:tc>
          <w:tcPr>
            <w:tcW w:w="6911" w:type="dxa"/>
            <w:vAlign w:val="center"/>
          </w:tcPr>
          <w:p w14:paraId="0D11D82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1、支持采集处核对受检者身份信息，识别替检。</w:t>
            </w:r>
          </w:p>
          <w:p w14:paraId="1F05B46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2、支持检验条码自动打印。</w:t>
            </w:r>
          </w:p>
          <w:p w14:paraId="420BD239">
            <w:pPr>
              <w:spacing w:line="360" w:lineRule="auto"/>
              <w:jc w:val="left"/>
              <w:rPr>
                <w:color w:val="auto"/>
                <w:highlight w:val="none"/>
                <w:vertAlign w:val="baseline"/>
              </w:rPr>
            </w:pPr>
            <w:r>
              <w:rPr>
                <w:rFonts w:hint="eastAsia" w:ascii="宋体" w:hAnsi="宋体" w:eastAsia="宋体" w:cs="宋体"/>
                <w:color w:val="auto"/>
                <w:sz w:val="21"/>
                <w:szCs w:val="21"/>
                <w:highlight w:val="none"/>
              </w:rPr>
              <w:t>3、支持标本采集申请信息与LIS系统同步。</w:t>
            </w:r>
          </w:p>
        </w:tc>
      </w:tr>
      <w:tr w14:paraId="269E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02" w:type="dxa"/>
            <w:vAlign w:val="center"/>
          </w:tcPr>
          <w:p w14:paraId="5462B8A0">
            <w:pPr>
              <w:numPr>
                <w:ilvl w:val="0"/>
                <w:numId w:val="2"/>
              </w:numPr>
              <w:ind w:left="425" w:leftChars="0" w:hanging="425" w:firstLineChars="0"/>
              <w:jc w:val="center"/>
              <w:rPr>
                <w:color w:val="auto"/>
                <w:highlight w:val="none"/>
                <w:vertAlign w:val="baseline"/>
              </w:rPr>
            </w:pPr>
          </w:p>
        </w:tc>
        <w:tc>
          <w:tcPr>
            <w:tcW w:w="1445" w:type="dxa"/>
            <w:vAlign w:val="center"/>
          </w:tcPr>
          <w:p w14:paraId="3A2547E6">
            <w:pPr>
              <w:spacing w:line="360" w:lineRule="auto"/>
              <w:jc w:val="center"/>
              <w:rPr>
                <w:color w:val="auto"/>
                <w:highlight w:val="none"/>
                <w:vertAlign w:val="baseline"/>
              </w:rPr>
            </w:pPr>
            <w:r>
              <w:rPr>
                <w:rFonts w:hint="eastAsia" w:ascii="宋体" w:hAnsi="宋体" w:eastAsia="宋体" w:cs="宋体"/>
                <w:color w:val="auto"/>
                <w:sz w:val="21"/>
                <w:szCs w:val="21"/>
                <w:highlight w:val="none"/>
              </w:rPr>
              <w:t>医生管理</w:t>
            </w:r>
          </w:p>
        </w:tc>
        <w:tc>
          <w:tcPr>
            <w:tcW w:w="6911" w:type="dxa"/>
            <w:vAlign w:val="center"/>
          </w:tcPr>
          <w:p w14:paraId="697BA6E5">
            <w:pPr>
              <w:widowControl/>
              <w:numPr>
                <w:ilvl w:val="0"/>
                <w:numId w:val="4"/>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通过条型码扫描快速查找到受检人员信息。</w:t>
            </w:r>
          </w:p>
          <w:p w14:paraId="655FA9A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2、支持照片显著展示，对受检者人员身份识别，防止替检。</w:t>
            </w:r>
          </w:p>
          <w:p w14:paraId="0B46A63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3、支持正常结果默认、异常结果鼠标选择录入，异常结果自由组合选择录入。</w:t>
            </w:r>
          </w:p>
          <w:p w14:paraId="230B48B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4、支持数值结果极限值自动判定、数值结果偏高偏低自动提示，阳性结果自动标定，重大阳性结果自动识别预警。</w:t>
            </w:r>
          </w:p>
          <w:p w14:paraId="07CE3C2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5、支持受检者历史异常结果智能提醒。</w:t>
            </w:r>
          </w:p>
          <w:p w14:paraId="5DF7D9A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、支持科室检查小结自动生成。</w:t>
            </w:r>
          </w:p>
          <w:p w14:paraId="39EB7D1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、根据质控要求，结论修改医生权限控制。</w:t>
            </w:r>
          </w:p>
          <w:p w14:paraId="6702B2F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、支持体检结果复核复查流程设置。</w:t>
            </w:r>
          </w:p>
          <w:p w14:paraId="100E17A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、支持仪器设备对接检查结果自动计算，如BMI等。</w:t>
            </w:r>
          </w:p>
          <w:p w14:paraId="05858D00">
            <w:pPr>
              <w:spacing w:line="360" w:lineRule="auto"/>
              <w:jc w:val="left"/>
              <w:rPr>
                <w:color w:val="auto"/>
                <w:highlight w:val="none"/>
                <w:vertAlign w:val="baseli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、支持多科室批量结果录入。</w:t>
            </w:r>
          </w:p>
        </w:tc>
      </w:tr>
      <w:tr w14:paraId="41F9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02" w:type="dxa"/>
            <w:vAlign w:val="center"/>
          </w:tcPr>
          <w:p w14:paraId="79F0E4C6">
            <w:pPr>
              <w:numPr>
                <w:ilvl w:val="0"/>
                <w:numId w:val="2"/>
              </w:numPr>
              <w:ind w:left="425" w:leftChars="0" w:hanging="425" w:firstLineChars="0"/>
              <w:jc w:val="center"/>
              <w:rPr>
                <w:color w:val="auto"/>
                <w:highlight w:val="none"/>
                <w:vertAlign w:val="baseline"/>
              </w:rPr>
            </w:pPr>
          </w:p>
        </w:tc>
        <w:tc>
          <w:tcPr>
            <w:tcW w:w="1445" w:type="dxa"/>
            <w:vAlign w:val="center"/>
          </w:tcPr>
          <w:p w14:paraId="1A58193A">
            <w:pPr>
              <w:spacing w:line="360" w:lineRule="auto"/>
              <w:jc w:val="center"/>
              <w:rPr>
                <w:color w:val="auto"/>
                <w:highlight w:val="none"/>
                <w:vertAlign w:val="baseline"/>
              </w:rPr>
            </w:pPr>
            <w:r>
              <w:rPr>
                <w:rFonts w:hint="eastAsia" w:ascii="宋体" w:hAnsi="宋体" w:eastAsia="宋体" w:cs="宋体"/>
                <w:color w:val="auto"/>
                <w:sz w:val="21"/>
                <w:szCs w:val="21"/>
                <w:highlight w:val="none"/>
              </w:rPr>
              <w:t>主检审核</w:t>
            </w:r>
          </w:p>
        </w:tc>
        <w:tc>
          <w:tcPr>
            <w:tcW w:w="6911" w:type="dxa"/>
            <w:vAlign w:val="center"/>
          </w:tcPr>
          <w:p w14:paraId="2EC92B9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1、按照职业健康监护规范系统内置标准五大结论，能够支持选择结论及处理建议。</w:t>
            </w:r>
          </w:p>
          <w:p w14:paraId="702BCC1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2、支持受检者历史检查结果横向对比查阅</w:t>
            </w:r>
          </w:p>
          <w:p w14:paraId="5D8731F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3、支持特殊标准自动修正、智能判定是否合格，支持电测听、心电图、超声等影像检查图像查阅。 </w:t>
            </w:r>
          </w:p>
          <w:p w14:paraId="42BE780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4、支持受检者体检情况自动进行分类，支持根据主检医生资质对主检人群进行判定过滤。</w:t>
            </w:r>
          </w:p>
          <w:p w14:paraId="555ED170">
            <w:pPr>
              <w:spacing w:line="360" w:lineRule="auto"/>
              <w:jc w:val="left"/>
              <w:rPr>
                <w:color w:val="auto"/>
                <w:highlight w:val="none"/>
                <w:vertAlign w:val="baseline"/>
              </w:rPr>
            </w:pPr>
            <w:r>
              <w:rPr>
                <w:rFonts w:hint="eastAsia" w:ascii="宋体" w:hAnsi="宋体" w:eastAsia="宋体" w:cs="宋体"/>
                <w:color w:val="auto"/>
                <w:sz w:val="21"/>
                <w:szCs w:val="21"/>
                <w:highlight w:val="none"/>
              </w:rPr>
              <w:t>5、支持总检“锁定”，“解锁”功能，保证报告出具质量。</w:t>
            </w:r>
          </w:p>
        </w:tc>
      </w:tr>
      <w:tr w14:paraId="3D69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2" w:type="dxa"/>
            <w:vAlign w:val="center"/>
          </w:tcPr>
          <w:p w14:paraId="3C1F2BA4">
            <w:pPr>
              <w:numPr>
                <w:ilvl w:val="0"/>
                <w:numId w:val="2"/>
              </w:numPr>
              <w:ind w:left="425" w:leftChars="0" w:hanging="425" w:firstLineChars="0"/>
              <w:jc w:val="center"/>
              <w:rPr>
                <w:color w:val="auto"/>
                <w:highlight w:val="none"/>
                <w:vertAlign w:val="baseline"/>
              </w:rPr>
            </w:pPr>
          </w:p>
        </w:tc>
        <w:tc>
          <w:tcPr>
            <w:tcW w:w="1445" w:type="dxa"/>
            <w:vAlign w:val="center"/>
          </w:tcPr>
          <w:p w14:paraId="1085513B">
            <w:pPr>
              <w:spacing w:line="360" w:lineRule="auto"/>
              <w:jc w:val="center"/>
              <w:rPr>
                <w:color w:val="auto"/>
                <w:highlight w:val="none"/>
                <w:vertAlign w:val="baseline"/>
              </w:rPr>
            </w:pPr>
            <w:r>
              <w:rPr>
                <w:rFonts w:hint="eastAsia" w:ascii="宋体" w:hAnsi="宋体" w:eastAsia="宋体" w:cs="宋体"/>
                <w:color w:val="auto"/>
                <w:sz w:val="21"/>
                <w:szCs w:val="21"/>
                <w:highlight w:val="none"/>
              </w:rPr>
              <w:t>体检报告</w:t>
            </w:r>
          </w:p>
        </w:tc>
        <w:tc>
          <w:tcPr>
            <w:tcW w:w="6911" w:type="dxa"/>
            <w:vAlign w:val="center"/>
          </w:tcPr>
          <w:p w14:paraId="7F9EDB47">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1、支持出具规范的职业健康检查报告以及复查告知书、职业禁忌证告知书、疑似职业病告知书等检查报告</w:t>
            </w:r>
            <w:r>
              <w:rPr>
                <w:rFonts w:hint="eastAsia" w:ascii="宋体" w:hAnsi="宋体" w:cs="宋体"/>
                <w:color w:val="auto"/>
                <w:sz w:val="21"/>
                <w:szCs w:val="21"/>
                <w:highlight w:val="none"/>
                <w:lang w:eastAsia="zh-CN"/>
              </w:rPr>
              <w:t>。</w:t>
            </w:r>
          </w:p>
          <w:p w14:paraId="72D6609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2、支持出具职业健康检查报告。</w:t>
            </w:r>
          </w:p>
          <w:p w14:paraId="4FE87687">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支持体检客户通过微信公众号查询体检报告在线浏览以及体检报告PDF下载。</w:t>
            </w:r>
          </w:p>
        </w:tc>
      </w:tr>
      <w:tr w14:paraId="4DF1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2" w:type="dxa"/>
            <w:vAlign w:val="center"/>
          </w:tcPr>
          <w:p w14:paraId="398BC3B3">
            <w:pPr>
              <w:numPr>
                <w:ilvl w:val="0"/>
                <w:numId w:val="2"/>
              </w:numPr>
              <w:ind w:left="425" w:leftChars="0" w:hanging="425" w:firstLineChars="0"/>
              <w:jc w:val="center"/>
              <w:rPr>
                <w:color w:val="auto"/>
                <w:highlight w:val="none"/>
                <w:vertAlign w:val="baseline"/>
              </w:rPr>
            </w:pPr>
          </w:p>
        </w:tc>
        <w:tc>
          <w:tcPr>
            <w:tcW w:w="1445" w:type="dxa"/>
            <w:vAlign w:val="center"/>
          </w:tcPr>
          <w:p w14:paraId="07035BB4">
            <w:pPr>
              <w:spacing w:line="360" w:lineRule="auto"/>
              <w:jc w:val="center"/>
              <w:rPr>
                <w:color w:val="auto"/>
                <w:highlight w:val="none"/>
                <w:vertAlign w:val="baseline"/>
              </w:rPr>
            </w:pPr>
            <w:r>
              <w:rPr>
                <w:rFonts w:hint="eastAsia" w:ascii="宋体" w:hAnsi="宋体" w:eastAsia="宋体" w:cs="宋体"/>
                <w:color w:val="auto"/>
                <w:sz w:val="21"/>
                <w:szCs w:val="21"/>
                <w:highlight w:val="none"/>
              </w:rPr>
              <w:t>总结报告</w:t>
            </w:r>
          </w:p>
        </w:tc>
        <w:tc>
          <w:tcPr>
            <w:tcW w:w="6911" w:type="dxa"/>
            <w:vAlign w:val="center"/>
          </w:tcPr>
          <w:p w14:paraId="4F39FCDD">
            <w:pPr>
              <w:widowControl/>
              <w:numPr>
                <w:ilvl w:val="0"/>
                <w:numId w:val="5"/>
              </w:num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总结报告自动生成，报告内容包括受检单位基本信息、检查及评价依据、体检结果分析（按照五大结果进行结果综述分析）、处理意见及建议和相关附件（体检结果一览表、实验室检查参考值、体检缺项人员清单、复查一览表、其他疾病或异常一览表、职业禁忌证一览表、疑似职业病一览表）。</w:t>
            </w:r>
          </w:p>
          <w:p w14:paraId="38BDBCF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、支持职业卫生总结报告相关机构资质、医生资质、评价依据、诊断标准等自定义维护。</w:t>
            </w:r>
          </w:p>
          <w:p w14:paraId="6EC18007">
            <w:pPr>
              <w:spacing w:line="360" w:lineRule="auto"/>
              <w:jc w:val="left"/>
              <w:rPr>
                <w:color w:val="auto"/>
                <w:highlight w:val="none"/>
                <w:vertAlign w:val="baseli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、支持总结报告打印导出电子格式。</w:t>
            </w:r>
          </w:p>
        </w:tc>
      </w:tr>
      <w:tr w14:paraId="36EF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2" w:type="dxa"/>
            <w:vAlign w:val="center"/>
          </w:tcPr>
          <w:p w14:paraId="60B0059B">
            <w:pPr>
              <w:numPr>
                <w:ilvl w:val="0"/>
                <w:numId w:val="2"/>
              </w:numPr>
              <w:ind w:left="425" w:leftChars="0" w:hanging="425" w:firstLineChars="0"/>
              <w:jc w:val="center"/>
              <w:rPr>
                <w:color w:val="auto"/>
                <w:highlight w:val="none"/>
                <w:vertAlign w:val="baseline"/>
              </w:rPr>
            </w:pPr>
          </w:p>
        </w:tc>
        <w:tc>
          <w:tcPr>
            <w:tcW w:w="1445" w:type="dxa"/>
            <w:vAlign w:val="center"/>
          </w:tcPr>
          <w:p w14:paraId="27FBB063">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接口对接</w:t>
            </w:r>
          </w:p>
        </w:tc>
        <w:tc>
          <w:tcPr>
            <w:tcW w:w="6911" w:type="dxa"/>
            <w:vAlign w:val="center"/>
          </w:tcPr>
          <w:p w14:paraId="1C0815EE">
            <w:pPr>
              <w:widowControl/>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与医院的LIS系统进行无缝对接实现数据传输</w:t>
            </w:r>
          </w:p>
          <w:p w14:paraId="11A14A9C">
            <w:pPr>
              <w:widowControl/>
              <w:numPr>
                <w:ilvl w:val="0"/>
                <w:numId w:val="0"/>
              </w:numPr>
              <w:spacing w:line="360" w:lineRule="auto"/>
              <w:ind w:lef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与医院的PACS系统进行无缝对接实现数据传输</w:t>
            </w:r>
          </w:p>
          <w:p w14:paraId="5B43C74C">
            <w:pPr>
              <w:pStyle w:val="17"/>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与医院的</w:t>
            </w:r>
            <w:r>
              <w:rPr>
                <w:rFonts w:hint="eastAsia" w:ascii="宋体" w:hAnsi="宋体" w:cs="宋体"/>
                <w:b w:val="0"/>
                <w:bCs w:val="0"/>
                <w:color w:val="auto"/>
                <w:kern w:val="0"/>
                <w:sz w:val="21"/>
                <w:szCs w:val="21"/>
                <w:highlight w:val="none"/>
                <w:lang w:val="en-US" w:eastAsia="zh-CN" w:bidi="ar-SA"/>
              </w:rPr>
              <w:t>心电</w:t>
            </w:r>
            <w:r>
              <w:rPr>
                <w:rFonts w:hint="eastAsia" w:ascii="宋体" w:hAnsi="宋体" w:eastAsia="宋体" w:cs="宋体"/>
                <w:b w:val="0"/>
                <w:bCs w:val="0"/>
                <w:color w:val="auto"/>
                <w:kern w:val="0"/>
                <w:sz w:val="21"/>
                <w:szCs w:val="21"/>
                <w:highlight w:val="none"/>
                <w:lang w:val="en-US" w:eastAsia="zh-CN" w:bidi="ar-SA"/>
              </w:rPr>
              <w:t>系统进行对接实现数据传输功能</w:t>
            </w:r>
          </w:p>
          <w:p w14:paraId="5BF69BEA">
            <w:pPr>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与医院提供的短信厂家进行对接</w:t>
            </w:r>
          </w:p>
          <w:p w14:paraId="3FB0B5C0">
            <w:pPr>
              <w:snapToGrid w:val="0"/>
              <w:spacing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与医院要求的职业病上报平台进行对接实现职业病体检数据上报处理</w:t>
            </w:r>
          </w:p>
          <w:p w14:paraId="01EC990D">
            <w:pPr>
              <w:widowControl/>
              <w:numPr>
                <w:ilvl w:val="0"/>
                <w:numId w:val="0"/>
              </w:numPr>
              <w:spacing w:line="360" w:lineRule="auto"/>
              <w:ind w:left="0" w:lef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医院的仪器</w:t>
            </w:r>
            <w:r>
              <w:rPr>
                <w:rFonts w:hint="eastAsia" w:ascii="宋体" w:hAnsi="宋体" w:eastAsia="宋体" w:cs="宋体"/>
                <w:color w:val="auto"/>
                <w:szCs w:val="21"/>
                <w:highlight w:val="none"/>
              </w:rPr>
              <w:t>主要实现图片报告传输到</w:t>
            </w:r>
            <w:r>
              <w:rPr>
                <w:rFonts w:hint="eastAsia" w:ascii="宋体" w:hAnsi="宋体" w:eastAsia="宋体" w:cs="宋体"/>
                <w:color w:val="auto"/>
                <w:szCs w:val="21"/>
                <w:highlight w:val="none"/>
                <w:lang w:val="en-US" w:eastAsia="zh-CN"/>
              </w:rPr>
              <w:t>体检</w:t>
            </w:r>
            <w:r>
              <w:rPr>
                <w:rFonts w:hint="eastAsia" w:ascii="宋体" w:hAnsi="宋体" w:eastAsia="宋体" w:cs="宋体"/>
                <w:color w:val="auto"/>
                <w:szCs w:val="21"/>
                <w:highlight w:val="none"/>
              </w:rPr>
              <w:t>管理信息系统。</w:t>
            </w:r>
          </w:p>
        </w:tc>
      </w:tr>
      <w:tr w14:paraId="78C0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2" w:type="dxa"/>
            <w:vAlign w:val="center"/>
          </w:tcPr>
          <w:p w14:paraId="3AC6590C">
            <w:pPr>
              <w:numPr>
                <w:ilvl w:val="0"/>
                <w:numId w:val="2"/>
              </w:numPr>
              <w:ind w:left="425" w:leftChars="0" w:hanging="425" w:firstLineChars="0"/>
              <w:jc w:val="center"/>
              <w:rPr>
                <w:color w:val="auto"/>
                <w:highlight w:val="none"/>
                <w:vertAlign w:val="baseline"/>
              </w:rPr>
            </w:pPr>
          </w:p>
        </w:tc>
        <w:tc>
          <w:tcPr>
            <w:tcW w:w="1445" w:type="dxa"/>
            <w:vAlign w:val="center"/>
          </w:tcPr>
          <w:p w14:paraId="42C6ABDB">
            <w:pPr>
              <w:widowControl/>
              <w:numPr>
                <w:ilvl w:val="0"/>
                <w:numId w:val="0"/>
              </w:numPr>
              <w:spacing w:line="360" w:lineRule="auto"/>
              <w:ind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团检统计</w:t>
            </w:r>
          </w:p>
          <w:p w14:paraId="06206675">
            <w:pPr>
              <w:widowControl/>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p>
        </w:tc>
        <w:tc>
          <w:tcPr>
            <w:tcW w:w="6911" w:type="dxa"/>
            <w:shd w:val="clear" w:color="auto" w:fill="auto"/>
            <w:vAlign w:val="center"/>
          </w:tcPr>
          <w:p w14:paraId="0B58F07B">
            <w:pPr>
              <w:widowControl/>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1.单位参检人数及到检率； </w:t>
            </w:r>
          </w:p>
          <w:p w14:paraId="0C6C5FAB">
            <w:pPr>
              <w:widowControl/>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2.单位阳性汇总表； </w:t>
            </w:r>
          </w:p>
          <w:p w14:paraId="5955E995">
            <w:pPr>
              <w:widowControl/>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3.单位疾病异常汇总表</w:t>
            </w:r>
          </w:p>
          <w:p w14:paraId="3EF1CAE7">
            <w:pPr>
              <w:widowControl/>
              <w:numPr>
                <w:ilvl w:val="0"/>
                <w:numId w:val="0"/>
              </w:numPr>
              <w:spacing w:line="360" w:lineRule="auto"/>
              <w:ind w:leftChars="0"/>
              <w:jc w:val="left"/>
              <w:rPr>
                <w:rFonts w:hint="eastAsia" w:ascii="宋体" w:hAnsi="宋体" w:eastAsia="宋体" w:cs="宋体"/>
                <w:color w:val="auto"/>
                <w:sz w:val="21"/>
                <w:szCs w:val="21"/>
                <w:highlight w:val="none"/>
                <w:lang w:val="en-US" w:eastAsia="zh-CN"/>
              </w:rPr>
            </w:pPr>
          </w:p>
        </w:tc>
      </w:tr>
    </w:tbl>
    <w:p w14:paraId="32A07C8A">
      <w:pPr>
        <w:spacing w:line="360" w:lineRule="auto"/>
        <w:ind w:firstLine="482" w:firstLineChars="200"/>
        <w:rPr>
          <w:rFonts w:hint="default" w:ascii="宋体" w:hAnsi="宋体" w:eastAsia="宋体" w:cs="宋体"/>
          <w:b/>
          <w:bCs/>
          <w:color w:val="auto"/>
          <w:sz w:val="24"/>
          <w:szCs w:val="32"/>
          <w:highlight w:val="none"/>
          <w:lang w:val="en-US" w:eastAsia="zh-CN"/>
        </w:rPr>
      </w:pPr>
      <w:bookmarkStart w:id="39" w:name="_Toc20436"/>
      <w:bookmarkStart w:id="40" w:name="_Toc18671563"/>
      <w:r>
        <w:rPr>
          <w:rFonts w:hint="eastAsia" w:ascii="宋体" w:hAnsi="宋体" w:eastAsia="宋体" w:cs="宋体"/>
          <w:b/>
          <w:bCs/>
          <w:color w:val="auto"/>
          <w:sz w:val="24"/>
          <w:szCs w:val="32"/>
          <w:highlight w:val="none"/>
          <w:lang w:val="en-US" w:eastAsia="zh-CN"/>
        </w:rPr>
        <w:t>报价要求</w:t>
      </w:r>
    </w:p>
    <w:p w14:paraId="306C5B4C">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本项目采用总价包干形式。供应商的报价应包含系统软件、授权、运输、安装调试、集成对接、培训、质保期服务、税费等完成本项目所发生的一切费用。采购人后期不再支付任何其他费用。</w:t>
      </w:r>
    </w:p>
    <w:p w14:paraId="5D032CE8">
      <w:pPr>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br w:type="page"/>
      </w:r>
    </w:p>
    <w:p w14:paraId="38B3CFE5">
      <w:pPr>
        <w:pStyle w:val="2"/>
        <w:bidi w:val="0"/>
        <w:rPr>
          <w:rFonts w:asciiTheme="minorEastAsia" w:hAnsiTheme="minorEastAsia" w:eastAsiaTheme="minorEastAsia" w:cstheme="minorEastAsia"/>
          <w:color w:val="auto"/>
          <w:szCs w:val="24"/>
          <w:highlight w:val="none"/>
        </w:rPr>
      </w:pPr>
      <w:bookmarkStart w:id="41" w:name="_Toc29634"/>
      <w:r>
        <w:rPr>
          <w:rFonts w:hint="eastAsia"/>
        </w:rPr>
        <w:t>第六章  单一来源响应</w:t>
      </w:r>
      <w:bookmarkEnd w:id="32"/>
      <w:bookmarkEnd w:id="33"/>
      <w:r>
        <w:rPr>
          <w:rFonts w:hint="eastAsia"/>
        </w:rPr>
        <w:t>文件</w:t>
      </w:r>
      <w:bookmarkEnd w:id="39"/>
      <w:bookmarkEnd w:id="40"/>
      <w:bookmarkEnd w:id="41"/>
    </w:p>
    <w:p w14:paraId="1D9E7080">
      <w:pPr>
        <w:rPr>
          <w:rFonts w:asciiTheme="minorEastAsia" w:hAnsiTheme="minorEastAsia" w:eastAsiaTheme="minorEastAsia" w:cstheme="minorEastAsia"/>
          <w:color w:val="auto"/>
          <w:sz w:val="24"/>
          <w:highlight w:val="none"/>
        </w:rPr>
      </w:pPr>
    </w:p>
    <w:p w14:paraId="56E50C06">
      <w:pPr>
        <w:jc w:val="center"/>
        <w:rPr>
          <w:rFonts w:asciiTheme="minorEastAsia" w:hAnsiTheme="minorEastAsia" w:eastAsiaTheme="minorEastAsia" w:cstheme="minorEastAsia"/>
          <w:b/>
          <w:color w:val="auto"/>
          <w:sz w:val="24"/>
          <w:highlight w:val="none"/>
        </w:rPr>
      </w:pPr>
    </w:p>
    <w:p w14:paraId="387B760F">
      <w:pPr>
        <w:rPr>
          <w:rFonts w:asciiTheme="minorEastAsia" w:hAnsiTheme="minorEastAsia" w:eastAsiaTheme="minorEastAsia" w:cstheme="minorEastAsia"/>
          <w:b/>
          <w:color w:val="auto"/>
          <w:sz w:val="24"/>
          <w:highlight w:val="none"/>
        </w:rPr>
      </w:pPr>
    </w:p>
    <w:p w14:paraId="26B8CC4C">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单一来源响应文件</w:t>
      </w:r>
    </w:p>
    <w:p w14:paraId="7F50C833">
      <w:pPr>
        <w:spacing w:before="156" w:beforeLines="50" w:after="156" w:afterLines="50"/>
        <w:jc w:val="center"/>
        <w:rPr>
          <w:rFonts w:asciiTheme="minorEastAsia" w:hAnsiTheme="minorEastAsia" w:eastAsiaTheme="minorEastAsia" w:cstheme="minorEastAsia"/>
          <w:color w:val="auto"/>
          <w:sz w:val="24"/>
          <w:highlight w:val="none"/>
        </w:rPr>
      </w:pPr>
    </w:p>
    <w:p w14:paraId="4A52CD54">
      <w:pPr>
        <w:spacing w:before="156" w:beforeLines="50" w:after="156" w:afterLines="5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（封面）</w:t>
      </w:r>
    </w:p>
    <w:p w14:paraId="5217F55B">
      <w:pPr>
        <w:jc w:val="center"/>
        <w:rPr>
          <w:rFonts w:asciiTheme="minorEastAsia" w:hAnsiTheme="minorEastAsia" w:eastAsiaTheme="minorEastAsia" w:cstheme="minorEastAsia"/>
          <w:color w:val="auto"/>
          <w:sz w:val="24"/>
          <w:highlight w:val="none"/>
        </w:rPr>
      </w:pPr>
    </w:p>
    <w:p w14:paraId="4742B18D">
      <w:pPr>
        <w:jc w:val="center"/>
        <w:rPr>
          <w:rFonts w:asciiTheme="minorEastAsia" w:hAnsiTheme="minorEastAsia" w:eastAsiaTheme="minorEastAsia" w:cstheme="minorEastAsia"/>
          <w:color w:val="auto"/>
          <w:sz w:val="24"/>
          <w:highlight w:val="none"/>
        </w:rPr>
      </w:pPr>
    </w:p>
    <w:p w14:paraId="252D6561">
      <w:pPr>
        <w:jc w:val="center"/>
        <w:rPr>
          <w:rFonts w:asciiTheme="minorEastAsia" w:hAnsiTheme="minorEastAsia" w:eastAsiaTheme="minorEastAsia" w:cstheme="minorEastAsia"/>
          <w:color w:val="auto"/>
          <w:sz w:val="24"/>
          <w:highlight w:val="none"/>
        </w:rPr>
      </w:pPr>
    </w:p>
    <w:p w14:paraId="438402AD">
      <w:pPr>
        <w:rPr>
          <w:rFonts w:asciiTheme="minorEastAsia" w:hAnsiTheme="minorEastAsia" w:eastAsiaTheme="minorEastAsia" w:cstheme="minorEastAsia"/>
          <w:color w:val="auto"/>
          <w:sz w:val="24"/>
          <w:highlight w:val="none"/>
        </w:rPr>
      </w:pPr>
    </w:p>
    <w:p w14:paraId="65BD4C3B">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p w14:paraId="1B76A7EA">
      <w:pPr>
        <w:ind w:firstLine="1320" w:firstLineChars="5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p w14:paraId="3CEC03BC">
      <w:pPr>
        <w:jc w:val="center"/>
        <w:rPr>
          <w:rFonts w:asciiTheme="minorEastAsia" w:hAnsiTheme="minorEastAsia" w:eastAsiaTheme="minorEastAsia" w:cstheme="minorEastAsia"/>
          <w:color w:val="auto"/>
          <w:sz w:val="24"/>
          <w:highlight w:val="none"/>
        </w:rPr>
      </w:pPr>
    </w:p>
    <w:p w14:paraId="65561C84">
      <w:pPr>
        <w:jc w:val="center"/>
        <w:rPr>
          <w:rFonts w:asciiTheme="minorEastAsia" w:hAnsiTheme="minorEastAsia" w:eastAsiaTheme="minorEastAsia" w:cstheme="minorEastAsia"/>
          <w:color w:val="auto"/>
          <w:sz w:val="24"/>
          <w:highlight w:val="none"/>
        </w:rPr>
      </w:pPr>
    </w:p>
    <w:p w14:paraId="68029366">
      <w:pPr>
        <w:jc w:val="center"/>
        <w:rPr>
          <w:rFonts w:asciiTheme="minorEastAsia" w:hAnsiTheme="minorEastAsia" w:eastAsiaTheme="minorEastAsia" w:cstheme="minorEastAsia"/>
          <w:color w:val="auto"/>
          <w:sz w:val="24"/>
          <w:highlight w:val="none"/>
        </w:rPr>
      </w:pPr>
    </w:p>
    <w:p w14:paraId="49D2BAF7">
      <w:pPr>
        <w:jc w:val="center"/>
        <w:rPr>
          <w:rFonts w:asciiTheme="minorEastAsia" w:hAnsiTheme="minorEastAsia" w:eastAsiaTheme="minorEastAsia" w:cstheme="minorEastAsia"/>
          <w:color w:val="auto"/>
          <w:sz w:val="24"/>
          <w:highlight w:val="none"/>
        </w:rPr>
      </w:pPr>
    </w:p>
    <w:p w14:paraId="576EEA51">
      <w:pPr>
        <w:jc w:val="center"/>
        <w:rPr>
          <w:rFonts w:asciiTheme="minorEastAsia" w:hAnsiTheme="minorEastAsia" w:eastAsiaTheme="minorEastAsia" w:cstheme="minorEastAsia"/>
          <w:color w:val="auto"/>
          <w:sz w:val="24"/>
          <w:highlight w:val="none"/>
        </w:rPr>
      </w:pPr>
    </w:p>
    <w:p w14:paraId="49130CD9">
      <w:pPr>
        <w:jc w:val="center"/>
        <w:rPr>
          <w:rFonts w:asciiTheme="minorEastAsia" w:hAnsiTheme="minorEastAsia" w:eastAsiaTheme="minorEastAsia" w:cstheme="minorEastAsia"/>
          <w:color w:val="auto"/>
          <w:sz w:val="24"/>
          <w:highlight w:val="none"/>
        </w:rPr>
      </w:pPr>
    </w:p>
    <w:p w14:paraId="44320357">
      <w:pPr>
        <w:jc w:val="center"/>
        <w:rPr>
          <w:rFonts w:asciiTheme="minorEastAsia" w:hAnsiTheme="minorEastAsia" w:eastAsiaTheme="minorEastAsia" w:cstheme="minorEastAsia"/>
          <w:color w:val="auto"/>
          <w:sz w:val="24"/>
          <w:highlight w:val="none"/>
        </w:rPr>
      </w:pPr>
    </w:p>
    <w:p w14:paraId="384E0CCE">
      <w:pPr>
        <w:jc w:val="center"/>
        <w:rPr>
          <w:rFonts w:asciiTheme="minorEastAsia" w:hAnsiTheme="minorEastAsia" w:eastAsiaTheme="minorEastAsia" w:cstheme="minorEastAsia"/>
          <w:color w:val="auto"/>
          <w:sz w:val="24"/>
          <w:highlight w:val="none"/>
        </w:rPr>
      </w:pPr>
    </w:p>
    <w:p w14:paraId="64A22906">
      <w:pPr>
        <w:jc w:val="center"/>
        <w:rPr>
          <w:rFonts w:asciiTheme="minorEastAsia" w:hAnsiTheme="minorEastAsia" w:eastAsiaTheme="minorEastAsia" w:cstheme="minorEastAsia"/>
          <w:color w:val="auto"/>
          <w:sz w:val="24"/>
          <w:highlight w:val="none"/>
        </w:rPr>
      </w:pPr>
    </w:p>
    <w:p w14:paraId="626E5199">
      <w:pPr>
        <w:jc w:val="center"/>
        <w:rPr>
          <w:rFonts w:asciiTheme="minorEastAsia" w:hAnsiTheme="minorEastAsia" w:eastAsiaTheme="minorEastAsia" w:cstheme="minorEastAsia"/>
          <w:color w:val="auto"/>
          <w:sz w:val="24"/>
          <w:highlight w:val="none"/>
        </w:rPr>
      </w:pPr>
    </w:p>
    <w:p w14:paraId="0CC624A4">
      <w:pPr>
        <w:jc w:val="center"/>
        <w:rPr>
          <w:rFonts w:asciiTheme="minorEastAsia" w:hAnsiTheme="minorEastAsia" w:eastAsiaTheme="minorEastAsia" w:cstheme="minorEastAsia"/>
          <w:color w:val="auto"/>
          <w:sz w:val="24"/>
          <w:highlight w:val="none"/>
        </w:rPr>
      </w:pPr>
    </w:p>
    <w:p w14:paraId="2C9EF67A">
      <w:pPr>
        <w:jc w:val="center"/>
        <w:rPr>
          <w:rFonts w:asciiTheme="minorEastAsia" w:hAnsiTheme="minorEastAsia" w:eastAsiaTheme="minorEastAsia" w:cstheme="minorEastAsia"/>
          <w:color w:val="auto"/>
          <w:sz w:val="24"/>
          <w:highlight w:val="none"/>
        </w:rPr>
      </w:pPr>
    </w:p>
    <w:p w14:paraId="6D92BD43">
      <w:pPr>
        <w:ind w:firstLine="2100" w:firstLineChars="875"/>
        <w:jc w:val="left"/>
        <w:rPr>
          <w:rFonts w:asciiTheme="minorEastAsia" w:hAnsiTheme="minorEastAsia" w:eastAsiaTheme="minorEastAsia" w:cstheme="minorEastAsia"/>
          <w:color w:val="auto"/>
          <w:sz w:val="24"/>
          <w:highlight w:val="none"/>
        </w:rPr>
      </w:pPr>
    </w:p>
    <w:p w14:paraId="51B1B1AC">
      <w:pPr>
        <w:ind w:firstLine="2280" w:firstLineChars="950"/>
        <w:rPr>
          <w:rFonts w:asciiTheme="minorEastAsia" w:hAnsiTheme="minorEastAsia" w:eastAsiaTheme="minorEastAsia" w:cstheme="minorEastAsia"/>
          <w:color w:val="auto"/>
          <w:sz w:val="24"/>
          <w:highlight w:val="none"/>
        </w:rPr>
      </w:pPr>
    </w:p>
    <w:p w14:paraId="7498D41C">
      <w:pPr>
        <w:ind w:firstLine="1440" w:firstLineChars="6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                    </w:t>
      </w:r>
    </w:p>
    <w:p w14:paraId="3421D247">
      <w:pPr>
        <w:ind w:firstLine="1440" w:firstLineChars="600"/>
        <w:rPr>
          <w:rFonts w:asciiTheme="minorEastAsia" w:hAnsiTheme="minorEastAsia" w:eastAsiaTheme="minorEastAsia" w:cstheme="minorEastAsia"/>
          <w:b/>
          <w:color w:val="auto"/>
          <w:sz w:val="24"/>
          <w:highlight w:val="none"/>
          <w:u w:val="single"/>
        </w:rPr>
      </w:pPr>
      <w:r>
        <w:rPr>
          <w:rFonts w:hint="eastAsia" w:asciiTheme="minorEastAsia" w:hAnsiTheme="minorEastAsia" w:eastAsiaTheme="minorEastAsia" w:cstheme="minorEastAsia"/>
          <w:color w:val="auto"/>
          <w:sz w:val="24"/>
          <w:highlight w:val="none"/>
        </w:rPr>
        <w:t>签  章：</w:t>
      </w:r>
    </w:p>
    <w:p w14:paraId="3FCDE43D">
      <w:pPr>
        <w:ind w:firstLine="3240" w:firstLineChars="1350"/>
        <w:rPr>
          <w:rFonts w:asciiTheme="minorEastAsia" w:hAnsiTheme="minorEastAsia" w:eastAsiaTheme="minorEastAsia" w:cstheme="minorEastAsia"/>
          <w:color w:val="auto"/>
          <w:sz w:val="24"/>
          <w:highlight w:val="none"/>
        </w:rPr>
      </w:pPr>
    </w:p>
    <w:p w14:paraId="3F71C1C4">
      <w:pPr>
        <w:ind w:firstLine="3240" w:firstLineChars="1350"/>
        <w:rPr>
          <w:rFonts w:asciiTheme="minorEastAsia" w:hAnsiTheme="minorEastAsia" w:eastAsiaTheme="minorEastAsia" w:cstheme="minorEastAsia"/>
          <w:color w:val="auto"/>
          <w:sz w:val="24"/>
          <w:highlight w:val="none"/>
          <w:u w:val="single"/>
        </w:rPr>
      </w:pPr>
    </w:p>
    <w:p w14:paraId="3B9AD3B9">
      <w:pPr>
        <w:ind w:firstLine="3240" w:firstLineChars="1350"/>
        <w:rPr>
          <w:rFonts w:ascii="宋体" w:hAnsi="宋体" w:cs="宋体"/>
          <w:color w:val="auto"/>
          <w:sz w:val="24"/>
          <w:highlight w:val="none"/>
          <w:u w:val="single"/>
        </w:rPr>
      </w:pPr>
    </w:p>
    <w:p w14:paraId="50DDC386">
      <w:pPr>
        <w:ind w:firstLine="3240" w:firstLineChars="135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37A4FA4">
      <w:pPr>
        <w:pStyle w:val="30"/>
        <w:spacing w:before="156" w:beforeLines="50" w:after="156" w:afterLines="50" w:line="560" w:lineRule="exact"/>
        <w:ind w:firstLine="0" w:firstLineChars="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42" w:name="_Toc26899"/>
      <w:bookmarkStart w:id="43" w:name="_Toc18671564"/>
      <w:bookmarkStart w:id="44" w:name="_Toc533314956"/>
      <w:bookmarkStart w:id="45" w:name="_Toc272163838"/>
      <w:bookmarkStart w:id="46" w:name="_Hlk450146465"/>
      <w:r>
        <w:rPr>
          <w:rStyle w:val="33"/>
          <w:rFonts w:hint="eastAsia" w:ascii="宋体" w:hAnsi="宋体" w:eastAsia="宋体" w:cs="宋体"/>
          <w:b/>
          <w:color w:val="auto"/>
          <w:sz w:val="24"/>
          <w:szCs w:val="24"/>
          <w:highlight w:val="none"/>
        </w:rPr>
        <w:t>一、响应函格式</w:t>
      </w:r>
      <w:bookmarkEnd w:id="42"/>
      <w:bookmarkEnd w:id="43"/>
      <w:bookmarkEnd w:id="44"/>
      <w:bookmarkEnd w:id="45"/>
      <w:bookmarkEnd w:id="46"/>
    </w:p>
    <w:p w14:paraId="3703BAC3">
      <w:pPr>
        <w:spacing w:before="156" w:beforeLines="50" w:after="156" w:afterLines="50" w:line="52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致：</w:t>
      </w:r>
      <w:r>
        <w:rPr>
          <w:rFonts w:hint="eastAsia" w:asciiTheme="minorEastAsia" w:hAnsiTheme="minorEastAsia" w:eastAsiaTheme="minorEastAsia" w:cstheme="minorEastAsia"/>
          <w:b/>
          <w:color w:val="auto"/>
          <w:sz w:val="24"/>
          <w:highlight w:val="none"/>
          <w:u w:val="single"/>
        </w:rPr>
        <w:t>（采购人的名称）</w:t>
      </w:r>
    </w:p>
    <w:p w14:paraId="1272B6C3">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1、根据贵方</w:t>
      </w:r>
      <w:r>
        <w:rPr>
          <w:rFonts w:hint="eastAsia" w:asciiTheme="minorEastAsia" w:hAnsiTheme="minorEastAsia" w:eastAsiaTheme="minorEastAsia" w:cstheme="minorEastAsia"/>
          <w:color w:val="auto"/>
          <w:sz w:val="24"/>
          <w:highlight w:val="none"/>
          <w:u w:val="single"/>
        </w:rPr>
        <w:t xml:space="preserve"> （项目编号） </w:t>
      </w:r>
      <w:r>
        <w:rPr>
          <w:rFonts w:hint="eastAsia" w:asciiTheme="minorEastAsia" w:hAnsiTheme="minorEastAsia" w:eastAsiaTheme="minorEastAsia" w:cstheme="minorEastAsia"/>
          <w:color w:val="auto"/>
          <w:sz w:val="24"/>
          <w:highlight w:val="none"/>
        </w:rPr>
        <w:t>单一来源文件，我们决定参加贵方组织的</w:t>
      </w:r>
      <w:r>
        <w:rPr>
          <w:rFonts w:hint="eastAsia" w:asciiTheme="minorEastAsia" w:hAnsiTheme="minorEastAsia" w:eastAsiaTheme="minorEastAsia" w:cstheme="minorEastAsia"/>
          <w:color w:val="auto"/>
          <w:sz w:val="24"/>
          <w:highlight w:val="none"/>
          <w:u w:val="single"/>
        </w:rPr>
        <w:t xml:space="preserve"> （项目名称） </w:t>
      </w:r>
      <w:r>
        <w:rPr>
          <w:rFonts w:hint="eastAsia" w:asciiTheme="minorEastAsia" w:hAnsiTheme="minorEastAsia" w:eastAsiaTheme="minorEastAsia" w:cstheme="minorEastAsia"/>
          <w:color w:val="auto"/>
          <w:sz w:val="24"/>
          <w:highlight w:val="none"/>
        </w:rPr>
        <w:t>的采购活动。我方授权</w:t>
      </w:r>
      <w:r>
        <w:rPr>
          <w:rFonts w:hint="eastAsia" w:asciiTheme="minorEastAsia" w:hAnsiTheme="minorEastAsia" w:eastAsiaTheme="minorEastAsia" w:cstheme="minorEastAsia"/>
          <w:color w:val="auto"/>
          <w:sz w:val="24"/>
          <w:highlight w:val="none"/>
          <w:u w:val="single"/>
        </w:rPr>
        <w:t xml:space="preserve">  (姓名和职务)  </w:t>
      </w:r>
      <w:r>
        <w:rPr>
          <w:rFonts w:hint="eastAsia" w:asciiTheme="minorEastAsia" w:hAnsiTheme="minorEastAsia" w:eastAsiaTheme="minorEastAsia" w:cstheme="minorEastAsia"/>
          <w:color w:val="auto"/>
          <w:sz w:val="24"/>
          <w:highlight w:val="none"/>
        </w:rPr>
        <w:t>代表我方</w:t>
      </w:r>
      <w:r>
        <w:rPr>
          <w:rFonts w:hint="eastAsia" w:asciiTheme="minorEastAsia" w:hAnsiTheme="minorEastAsia" w:eastAsiaTheme="minorEastAsia" w:cstheme="minorEastAsia"/>
          <w:color w:val="auto"/>
          <w:sz w:val="24"/>
          <w:highlight w:val="none"/>
          <w:u w:val="single"/>
        </w:rPr>
        <w:t xml:space="preserve"> （供应商全称） </w:t>
      </w:r>
      <w:r>
        <w:rPr>
          <w:rFonts w:hint="eastAsia" w:asciiTheme="minorEastAsia" w:hAnsiTheme="minorEastAsia" w:eastAsiaTheme="minorEastAsia" w:cstheme="minorEastAsia"/>
          <w:color w:val="auto"/>
          <w:sz w:val="24"/>
          <w:highlight w:val="none"/>
        </w:rPr>
        <w:t>全权处理本项目的有关事宜。</w:t>
      </w:r>
    </w:p>
    <w:p w14:paraId="0CA9C36A">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2、我方愿意按照单一来源文件规定的各项要求，向采购人提供所需的服务。</w:t>
      </w:r>
    </w:p>
    <w:p w14:paraId="67308C3D">
      <w:pPr>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3、一旦确定我方成交，我方将严格履行合同规定的责任和义务，保证于合同签字生效后按时完成服务内容并交付采购人验收、使用。</w:t>
      </w:r>
    </w:p>
    <w:p w14:paraId="4E46D015">
      <w:pPr>
        <w:tabs>
          <w:tab w:val="left" w:pos="840"/>
        </w:tabs>
        <w:spacing w:line="50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4、我方愿意提供贵方可能另外要求的、与协商有关的文件资料，并保证我方已提供和将要提供的文件是真实的、准确的。</w:t>
      </w:r>
    </w:p>
    <w:p w14:paraId="07233C8C">
      <w:pPr>
        <w:spacing w:line="500" w:lineRule="exact"/>
        <w:jc w:val="left"/>
        <w:rPr>
          <w:rFonts w:asciiTheme="minorEastAsia" w:hAnsiTheme="minorEastAsia" w:eastAsiaTheme="minorEastAsia" w:cstheme="minorEastAsia"/>
          <w:color w:val="auto"/>
          <w:sz w:val="24"/>
          <w:highlight w:val="none"/>
        </w:rPr>
      </w:pPr>
    </w:p>
    <w:p w14:paraId="2F5E62EE">
      <w:pPr>
        <w:spacing w:line="500" w:lineRule="exact"/>
        <w:jc w:val="left"/>
        <w:rPr>
          <w:rFonts w:asciiTheme="minorEastAsia" w:hAnsiTheme="minorEastAsia" w:eastAsiaTheme="minorEastAsia" w:cstheme="minorEastAsia"/>
          <w:color w:val="auto"/>
          <w:sz w:val="24"/>
          <w:highlight w:val="none"/>
        </w:rPr>
      </w:pPr>
    </w:p>
    <w:p w14:paraId="128B872A">
      <w:pPr>
        <w:spacing w:line="500" w:lineRule="exact"/>
        <w:jc w:val="left"/>
        <w:rPr>
          <w:rFonts w:asciiTheme="minorEastAsia" w:hAnsiTheme="minorEastAsia" w:eastAsiaTheme="minorEastAsia" w:cstheme="minorEastAsia"/>
          <w:color w:val="auto"/>
          <w:sz w:val="24"/>
          <w:highlight w:val="none"/>
        </w:rPr>
      </w:pPr>
    </w:p>
    <w:p w14:paraId="1DC03E2A">
      <w:pPr>
        <w:spacing w:line="500" w:lineRule="exact"/>
        <w:jc w:val="left"/>
        <w:rPr>
          <w:rFonts w:asciiTheme="minorEastAsia" w:hAnsiTheme="minorEastAsia" w:eastAsiaTheme="minorEastAsia" w:cstheme="minorEastAsia"/>
          <w:color w:val="auto"/>
          <w:sz w:val="24"/>
          <w:highlight w:val="none"/>
        </w:rPr>
      </w:pPr>
    </w:p>
    <w:p w14:paraId="5B2921CA">
      <w:pPr>
        <w:pStyle w:val="29"/>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rPr>
        <w:t>章）</w:t>
      </w:r>
    </w:p>
    <w:p w14:paraId="57468435">
      <w:pPr>
        <w:pStyle w:val="29"/>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2FEEC379">
      <w:pPr>
        <w:pStyle w:val="29"/>
        <w:spacing w:line="5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4E61D4D3">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14:paraId="640AA333">
      <w:pPr>
        <w:pStyle w:val="30"/>
        <w:spacing w:line="500" w:lineRule="exact"/>
        <w:ind w:firstLine="3123" w:firstLineChars="12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bookmarkStart w:id="47" w:name="_Toc2979"/>
    </w:p>
    <w:p w14:paraId="0478F5DC">
      <w:pPr>
        <w:pStyle w:val="3"/>
        <w:spacing w:before="156" w:beforeLines="50" w:after="156" w:afterLines="50" w:line="560" w:lineRule="exact"/>
        <w:jc w:val="center"/>
        <w:rPr>
          <w:rFonts w:ascii="宋体" w:hAnsi="宋体" w:eastAsia="宋体" w:cs="宋体"/>
          <w:color w:val="auto"/>
          <w:sz w:val="24"/>
          <w:szCs w:val="24"/>
          <w:highlight w:val="none"/>
        </w:rPr>
      </w:pPr>
      <w:bookmarkStart w:id="48" w:name="_Toc18671565"/>
      <w:bookmarkStart w:id="49" w:name="_Toc14608"/>
      <w:r>
        <w:rPr>
          <w:rFonts w:hint="eastAsia" w:ascii="宋体" w:hAnsi="宋体" w:eastAsia="宋体" w:cs="宋体"/>
          <w:color w:val="auto"/>
          <w:sz w:val="24"/>
          <w:szCs w:val="24"/>
          <w:highlight w:val="none"/>
        </w:rPr>
        <w:t>二、响应一览表</w:t>
      </w:r>
      <w:bookmarkEnd w:id="47"/>
      <w:bookmarkEnd w:id="48"/>
      <w:bookmarkEnd w:id="49"/>
    </w:p>
    <w:p w14:paraId="4E46E087">
      <w:pPr>
        <w:pStyle w:val="30"/>
        <w:ind w:firstLine="0" w:firstLineChars="0"/>
        <w:rPr>
          <w:rFonts w:asciiTheme="minorEastAsia" w:hAnsiTheme="minorEastAsia" w:eastAsiaTheme="minorEastAsia" w:cstheme="minorEastAsia"/>
          <w:color w:val="auto"/>
          <w:sz w:val="24"/>
          <w:highlight w:val="none"/>
        </w:rPr>
      </w:pPr>
    </w:p>
    <w:tbl>
      <w:tblPr>
        <w:tblStyle w:val="1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EE4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2F20C234">
            <w:pPr>
              <w:widowControl/>
              <w:spacing w:line="360" w:lineRule="exact"/>
              <w:jc w:val="center"/>
              <w:rPr>
                <w:rFonts w:asciiTheme="minorEastAsia" w:hAnsiTheme="minorEastAsia" w:eastAsiaTheme="minorEastAsia" w:cstheme="minorEastAsia"/>
                <w:b/>
                <w:color w:val="auto"/>
                <w:sz w:val="24"/>
                <w:highlight w:val="none"/>
              </w:rPr>
            </w:pPr>
            <w:bookmarkStart w:id="50" w:name="_Hlk450185766"/>
            <w:bookmarkStart w:id="51" w:name="_Toc293560332"/>
            <w:bookmarkStart w:id="52" w:name="_Toc272141475"/>
            <w:r>
              <w:rPr>
                <w:rFonts w:hint="eastAsia" w:asciiTheme="minorEastAsia" w:hAnsiTheme="minorEastAsia" w:eastAsiaTheme="minorEastAsia" w:cstheme="minorEastAsia"/>
                <w:b/>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50149067">
            <w:pPr>
              <w:spacing w:line="360" w:lineRule="exact"/>
              <w:rPr>
                <w:rFonts w:asciiTheme="minorEastAsia" w:hAnsiTheme="minorEastAsia" w:eastAsiaTheme="minorEastAsia" w:cstheme="minorEastAsia"/>
                <w:bCs/>
                <w:color w:val="auto"/>
                <w:sz w:val="24"/>
                <w:highlight w:val="none"/>
                <w:u w:val="single"/>
              </w:rPr>
            </w:pPr>
          </w:p>
        </w:tc>
      </w:tr>
      <w:tr w14:paraId="10EF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423788E">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项目编号</w:t>
            </w:r>
          </w:p>
        </w:tc>
        <w:tc>
          <w:tcPr>
            <w:tcW w:w="6667" w:type="dxa"/>
            <w:tcBorders>
              <w:top w:val="nil"/>
            </w:tcBorders>
            <w:vAlign w:val="center"/>
          </w:tcPr>
          <w:p w14:paraId="07389999">
            <w:pPr>
              <w:rPr>
                <w:rFonts w:asciiTheme="minorEastAsia" w:hAnsiTheme="minorEastAsia" w:eastAsiaTheme="minorEastAsia" w:cstheme="minorEastAsia"/>
                <w:bCs/>
                <w:color w:val="auto"/>
                <w:sz w:val="24"/>
                <w:highlight w:val="none"/>
              </w:rPr>
            </w:pPr>
          </w:p>
        </w:tc>
      </w:tr>
      <w:tr w14:paraId="5834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F6BA9AD">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响应供应商全称</w:t>
            </w:r>
          </w:p>
        </w:tc>
        <w:tc>
          <w:tcPr>
            <w:tcW w:w="6667" w:type="dxa"/>
            <w:tcBorders>
              <w:top w:val="nil"/>
            </w:tcBorders>
            <w:vAlign w:val="center"/>
          </w:tcPr>
          <w:p w14:paraId="0E232771">
            <w:pPr>
              <w:spacing w:line="360" w:lineRule="auto"/>
              <w:rPr>
                <w:rFonts w:asciiTheme="minorEastAsia" w:hAnsiTheme="minorEastAsia" w:eastAsiaTheme="minorEastAsia" w:cstheme="minorEastAsia"/>
                <w:bCs/>
                <w:color w:val="auto"/>
                <w:sz w:val="24"/>
                <w:highlight w:val="none"/>
              </w:rPr>
            </w:pPr>
          </w:p>
        </w:tc>
      </w:tr>
      <w:tr w14:paraId="3057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7DE2047">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响应范围</w:t>
            </w:r>
          </w:p>
        </w:tc>
        <w:tc>
          <w:tcPr>
            <w:tcW w:w="6667" w:type="dxa"/>
            <w:tcBorders>
              <w:top w:val="nil"/>
            </w:tcBorders>
            <w:vAlign w:val="center"/>
          </w:tcPr>
          <w:p w14:paraId="6320CAF8">
            <w:pPr>
              <w:widowControl/>
              <w:spacing w:line="360" w:lineRule="exac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第</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包(不分包项目填写“全部”)</w:t>
            </w:r>
          </w:p>
        </w:tc>
      </w:tr>
      <w:tr w14:paraId="4125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restart"/>
            <w:tcBorders>
              <w:top w:val="nil"/>
            </w:tcBorders>
            <w:vAlign w:val="center"/>
          </w:tcPr>
          <w:p w14:paraId="17F79DA4">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响应报价</w:t>
            </w:r>
          </w:p>
          <w:p w14:paraId="4B1ECB46">
            <w:pPr>
              <w:spacing w:line="360" w:lineRule="exact"/>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（人民币）</w:t>
            </w:r>
          </w:p>
          <w:p w14:paraId="75C394AB">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022A4CBA">
            <w:pPr>
              <w:spacing w:line="360" w:lineRule="auto"/>
              <w:ind w:right="-670"/>
              <w:rPr>
                <w:rFonts w:asciiTheme="minorEastAsia" w:hAnsiTheme="minorEastAsia" w:eastAsiaTheme="minorEastAsia" w:cstheme="minorEastAsia"/>
                <w:bCs/>
                <w:color w:val="auto"/>
                <w:sz w:val="24"/>
                <w:highlight w:val="none"/>
              </w:rPr>
            </w:pPr>
          </w:p>
          <w:p w14:paraId="019B353B">
            <w:pPr>
              <w:spacing w:line="360" w:lineRule="auto"/>
              <w:ind w:right="-67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大写：</w:t>
            </w:r>
            <w:r>
              <w:rPr>
                <w:rFonts w:hint="eastAsia" w:asciiTheme="minorEastAsia" w:hAnsiTheme="minorEastAsia" w:eastAsiaTheme="minorEastAsia" w:cstheme="minorEastAsia"/>
                <w:bCs/>
                <w:color w:val="auto"/>
                <w:sz w:val="24"/>
                <w:highlight w:val="none"/>
                <w:u w:val="single"/>
              </w:rPr>
              <w:t xml:space="preserve">        </w:t>
            </w:r>
          </w:p>
        </w:tc>
      </w:tr>
      <w:tr w14:paraId="2C08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vMerge w:val="continue"/>
            <w:vAlign w:val="center"/>
          </w:tcPr>
          <w:p w14:paraId="57540F48">
            <w:pPr>
              <w:spacing w:line="360" w:lineRule="exact"/>
              <w:jc w:val="center"/>
              <w:rPr>
                <w:rFonts w:asciiTheme="minorEastAsia" w:hAnsiTheme="minorEastAsia" w:eastAsiaTheme="minorEastAsia" w:cstheme="minorEastAsia"/>
                <w:b/>
                <w:color w:val="auto"/>
                <w:sz w:val="24"/>
                <w:highlight w:val="none"/>
              </w:rPr>
            </w:pPr>
          </w:p>
        </w:tc>
        <w:tc>
          <w:tcPr>
            <w:tcW w:w="6667" w:type="dxa"/>
            <w:tcBorders>
              <w:top w:val="nil"/>
            </w:tcBorders>
            <w:vAlign w:val="center"/>
          </w:tcPr>
          <w:p w14:paraId="080C1275">
            <w:pPr>
              <w:spacing w:line="360" w:lineRule="auto"/>
              <w:ind w:right="-670"/>
              <w:rPr>
                <w:rFonts w:asciiTheme="minorEastAsia" w:hAnsiTheme="minorEastAsia" w:eastAsiaTheme="minorEastAsia" w:cstheme="minorEastAsia"/>
                <w:bCs/>
                <w:color w:val="auto"/>
                <w:sz w:val="24"/>
                <w:highlight w:val="none"/>
              </w:rPr>
            </w:pPr>
          </w:p>
          <w:p w14:paraId="20E7B22B">
            <w:pPr>
              <w:spacing w:line="360" w:lineRule="auto"/>
              <w:ind w:right="-670"/>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小写：</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（元/%）</w:t>
            </w:r>
          </w:p>
          <w:p w14:paraId="652AAA75">
            <w:pPr>
              <w:spacing w:line="360" w:lineRule="auto"/>
              <w:ind w:right="-670"/>
              <w:rPr>
                <w:rFonts w:asciiTheme="minorEastAsia" w:hAnsiTheme="minorEastAsia" w:eastAsiaTheme="minorEastAsia" w:cstheme="minorEastAsia"/>
                <w:bCs/>
                <w:color w:val="auto"/>
                <w:sz w:val="24"/>
                <w:highlight w:val="none"/>
              </w:rPr>
            </w:pPr>
          </w:p>
        </w:tc>
      </w:tr>
      <w:tr w14:paraId="43AB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2471" w:type="dxa"/>
            <w:tcBorders>
              <w:top w:val="nil"/>
            </w:tcBorders>
            <w:vAlign w:val="center"/>
          </w:tcPr>
          <w:p w14:paraId="05E5357E">
            <w:pPr>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备注</w:t>
            </w:r>
          </w:p>
        </w:tc>
        <w:tc>
          <w:tcPr>
            <w:tcW w:w="6667" w:type="dxa"/>
            <w:tcBorders>
              <w:top w:val="nil"/>
            </w:tcBorders>
            <w:vAlign w:val="center"/>
          </w:tcPr>
          <w:p w14:paraId="061E4B9D">
            <w:pPr>
              <w:spacing w:line="360" w:lineRule="auto"/>
              <w:jc w:val="left"/>
              <w:rPr>
                <w:rFonts w:asciiTheme="minorEastAsia" w:hAnsiTheme="minorEastAsia" w:eastAsiaTheme="minorEastAsia" w:cstheme="minorEastAsia"/>
                <w:bCs/>
                <w:color w:val="auto"/>
                <w:sz w:val="24"/>
                <w:highlight w:val="none"/>
              </w:rPr>
            </w:pPr>
          </w:p>
        </w:tc>
      </w:tr>
    </w:tbl>
    <w:p w14:paraId="7016A9C7">
      <w:pPr>
        <w:spacing w:before="100" w:beforeAutospacing="1" w:after="100" w:afterAutospacing="1" w:line="360" w:lineRule="auto"/>
        <w:rPr>
          <w:rFonts w:asciiTheme="minorEastAsia" w:hAnsiTheme="minorEastAsia" w:eastAsiaTheme="minorEastAsia" w:cstheme="minorEastAsia"/>
          <w:b/>
          <w:color w:val="auto"/>
          <w:sz w:val="24"/>
          <w:highlight w:val="none"/>
        </w:rPr>
      </w:pPr>
    </w:p>
    <w:p w14:paraId="4994651F">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响应供应商（公章）：   </w:t>
      </w:r>
    </w:p>
    <w:p w14:paraId="24F063F7">
      <w:pPr>
        <w:rPr>
          <w:rFonts w:asciiTheme="minorEastAsia" w:hAnsiTheme="minorEastAsia" w:eastAsiaTheme="minorEastAsia" w:cstheme="minorEastAsia"/>
          <w:color w:val="auto"/>
          <w:sz w:val="24"/>
          <w:highlight w:val="none"/>
        </w:rPr>
      </w:pPr>
    </w:p>
    <w:p w14:paraId="70BDA998">
      <w:pPr>
        <w:rPr>
          <w:rFonts w:asciiTheme="minorEastAsia" w:hAnsiTheme="minorEastAsia" w:eastAsiaTheme="minorEastAsia" w:cstheme="minorEastAsia"/>
          <w:color w:val="auto"/>
          <w:sz w:val="24"/>
          <w:highlight w:val="none"/>
        </w:rPr>
      </w:pPr>
    </w:p>
    <w:p w14:paraId="4F17C23C">
      <w:pP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b/>
          <w:color w:val="auto"/>
          <w:sz w:val="24"/>
          <w:highlight w:val="none"/>
        </w:rPr>
        <w:t>日期</w:t>
      </w:r>
      <w:r>
        <w:rPr>
          <w:rFonts w:hint="eastAsia" w:asciiTheme="minorEastAsia" w:hAnsiTheme="minorEastAsia" w:eastAsiaTheme="minorEastAsia" w:cstheme="minorEastAsia"/>
          <w:color w:val="auto"/>
          <w:sz w:val="24"/>
          <w:highlight w:val="none"/>
        </w:rPr>
        <w:t>：   年    月    日</w:t>
      </w:r>
    </w:p>
    <w:p w14:paraId="77A7D5BE">
      <w:pPr>
        <w:rPr>
          <w:rFonts w:asciiTheme="minorEastAsia" w:hAnsiTheme="minorEastAsia" w:eastAsiaTheme="minorEastAsia" w:cstheme="minorEastAsia"/>
          <w:color w:val="auto"/>
          <w:sz w:val="24"/>
          <w:highlight w:val="none"/>
        </w:rPr>
      </w:pPr>
    </w:p>
    <w:p w14:paraId="2D0F2696">
      <w:pPr>
        <w:rPr>
          <w:rFonts w:asciiTheme="minorEastAsia" w:hAnsiTheme="minorEastAsia" w:eastAsiaTheme="minorEastAsia" w:cstheme="minorEastAsia"/>
          <w:color w:val="auto"/>
          <w:sz w:val="24"/>
          <w:highlight w:val="none"/>
        </w:rPr>
      </w:pPr>
    </w:p>
    <w:p w14:paraId="4AA360FD">
      <w:pPr>
        <w:rPr>
          <w:rFonts w:asciiTheme="minorEastAsia" w:hAnsiTheme="minorEastAsia" w:eastAsiaTheme="minorEastAsia" w:cstheme="minorEastAsia"/>
          <w:color w:val="auto"/>
          <w:sz w:val="24"/>
          <w:highlight w:val="none"/>
        </w:rPr>
      </w:pPr>
    </w:p>
    <w:p w14:paraId="5A22D56F">
      <w:pPr>
        <w:rPr>
          <w:rFonts w:asciiTheme="minorEastAsia" w:hAnsiTheme="minorEastAsia" w:eastAsiaTheme="minorEastAsia" w:cstheme="minorEastAsia"/>
          <w:color w:val="auto"/>
          <w:sz w:val="24"/>
          <w:highlight w:val="none"/>
        </w:rPr>
      </w:pPr>
    </w:p>
    <w:p w14:paraId="0997A426">
      <w:pPr>
        <w:rPr>
          <w:rFonts w:asciiTheme="minorEastAsia" w:hAnsiTheme="minorEastAsia" w:eastAsiaTheme="minorEastAsia" w:cstheme="minorEastAsia"/>
          <w:color w:val="auto"/>
          <w:sz w:val="24"/>
          <w:highlight w:val="none"/>
        </w:rPr>
      </w:pPr>
    </w:p>
    <w:p w14:paraId="54275284">
      <w:pPr>
        <w:rPr>
          <w:rFonts w:asciiTheme="minorEastAsia" w:hAnsiTheme="minorEastAsia" w:eastAsiaTheme="minorEastAsia" w:cstheme="minorEastAsia"/>
          <w:color w:val="auto"/>
          <w:sz w:val="24"/>
          <w:highlight w:val="none"/>
        </w:rPr>
      </w:pPr>
    </w:p>
    <w:p w14:paraId="079FE577">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bookmarkStart w:id="53" w:name="_Toc3760"/>
      <w:r>
        <w:rPr>
          <w:rFonts w:hint="eastAsia" w:asciiTheme="minorEastAsia" w:hAnsiTheme="minorEastAsia" w:eastAsiaTheme="minorEastAsia" w:cstheme="minorEastAsia"/>
          <w:color w:val="auto"/>
          <w:sz w:val="24"/>
          <w:szCs w:val="24"/>
          <w:highlight w:val="none"/>
        </w:rPr>
        <w:br w:type="page"/>
      </w:r>
      <w:bookmarkStart w:id="54" w:name="_Toc2257"/>
      <w:bookmarkStart w:id="55" w:name="_Toc9309"/>
      <w:bookmarkStart w:id="56" w:name="_Toc18671566"/>
      <w:r>
        <w:rPr>
          <w:rFonts w:hint="eastAsia" w:ascii="宋体" w:hAnsi="宋体" w:eastAsia="宋体" w:cs="宋体"/>
          <w:color w:val="auto"/>
          <w:sz w:val="24"/>
          <w:szCs w:val="24"/>
          <w:highlight w:val="none"/>
        </w:rPr>
        <w:t>三、营业执照</w:t>
      </w:r>
      <w:bookmarkEnd w:id="54"/>
      <w:bookmarkEnd w:id="55"/>
    </w:p>
    <w:p w14:paraId="50033E97">
      <w:pPr>
        <w:jc w:val="center"/>
        <w:rPr>
          <w:rFonts w:ascii="宋体" w:hAnsi="宋体" w:cs="宋体"/>
          <w:color w:val="auto"/>
          <w:sz w:val="24"/>
          <w:highlight w:val="none"/>
        </w:rPr>
      </w:pPr>
      <w:bookmarkStart w:id="57" w:name="_Toc24176"/>
      <w:r>
        <w:rPr>
          <w:rFonts w:hint="eastAsia"/>
          <w:color w:val="auto"/>
          <w:sz w:val="24"/>
          <w:highlight w:val="none"/>
          <w:lang w:val="en-US" w:eastAsia="zh-CN"/>
        </w:rPr>
        <w:t xml:space="preserve"> </w:t>
      </w:r>
      <w:r>
        <w:rPr>
          <w:rFonts w:hint="eastAsia"/>
          <w:color w:val="auto"/>
          <w:sz w:val="24"/>
          <w:highlight w:val="none"/>
        </w:rPr>
        <w:t>（营业执照等信息）</w:t>
      </w:r>
    </w:p>
    <w:p w14:paraId="7FDACC7C">
      <w:pPr>
        <w:rPr>
          <w:rFonts w:ascii="宋体" w:hAnsi="宋体" w:cs="宋体"/>
          <w:color w:val="auto"/>
          <w:sz w:val="24"/>
          <w:highlight w:val="none"/>
        </w:rPr>
      </w:pPr>
      <w:r>
        <w:rPr>
          <w:rFonts w:hint="eastAsia" w:ascii="宋体" w:hAnsi="宋体" w:cs="宋体"/>
          <w:color w:val="auto"/>
          <w:sz w:val="24"/>
          <w:highlight w:val="none"/>
        </w:rPr>
        <w:br w:type="page"/>
      </w:r>
    </w:p>
    <w:p w14:paraId="2EF2772B">
      <w:pPr>
        <w:pStyle w:val="3"/>
        <w:spacing w:before="156" w:beforeLines="50" w:after="156" w:afterLines="50" w:line="560" w:lineRule="exact"/>
        <w:jc w:val="center"/>
        <w:rPr>
          <w:rFonts w:ascii="宋体" w:hAnsi="宋体" w:eastAsia="宋体" w:cs="宋体"/>
          <w:color w:val="auto"/>
          <w:sz w:val="24"/>
          <w:szCs w:val="24"/>
          <w:highlight w:val="none"/>
        </w:rPr>
      </w:pPr>
      <w:bookmarkStart w:id="58" w:name="_Toc1365"/>
      <w:r>
        <w:rPr>
          <w:rFonts w:hint="eastAsia" w:ascii="宋体" w:hAnsi="宋体" w:eastAsia="宋体" w:cs="宋体"/>
          <w:color w:val="auto"/>
          <w:sz w:val="24"/>
          <w:szCs w:val="24"/>
          <w:highlight w:val="none"/>
        </w:rPr>
        <w:t>四、授权委托书</w:t>
      </w:r>
      <w:bookmarkEnd w:id="57"/>
      <w:bookmarkEnd w:id="58"/>
    </w:p>
    <w:p w14:paraId="7C8ABC6B">
      <w:pPr>
        <w:pStyle w:val="7"/>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hAnsi="宋体" w:cs="宋体"/>
          <w:color w:val="auto"/>
          <w:sz w:val="24"/>
          <w:highlight w:val="none"/>
          <w:u w:val="single"/>
        </w:rPr>
        <w:t xml:space="preserve"> （供应商名称的全称） </w:t>
      </w:r>
      <w:r>
        <w:rPr>
          <w:rFonts w:hint="eastAsia" w:asciiTheme="minorEastAsia" w:hAnsiTheme="minorEastAsia" w:eastAsiaTheme="minorEastAsia" w:cstheme="minorEastAsia"/>
          <w:color w:val="auto"/>
          <w:sz w:val="24"/>
          <w:highlight w:val="none"/>
        </w:rPr>
        <w:t>授权本公司</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（响应供应商授权代表姓名、职务）代表本公司参加</w:t>
      </w:r>
      <w:r>
        <w:rPr>
          <w:rFonts w:hint="eastAsia" w:asciiTheme="minorEastAsia" w:hAnsiTheme="minorEastAsia" w:eastAsiaTheme="minorEastAsia" w:cstheme="minorEastAsia"/>
          <w:color w:val="auto"/>
          <w:sz w:val="24"/>
          <w:highlight w:val="none"/>
          <w:u w:val="single"/>
        </w:rPr>
        <w:t xml:space="preserve">       某项目</w:t>
      </w:r>
      <w:r>
        <w:rPr>
          <w:rFonts w:hint="eastAsia" w:asciiTheme="minorEastAsia" w:hAnsiTheme="minorEastAsia" w:eastAsiaTheme="minorEastAsia" w:cstheme="minorEastAsia"/>
          <w:color w:val="auto"/>
          <w:sz w:val="24"/>
          <w:highlight w:val="none"/>
        </w:rPr>
        <w:t>采购活动（项目编号：</w:t>
      </w:r>
      <w:r>
        <w:rPr>
          <w:rFonts w:hint="eastAsia" w:asciiTheme="minorEastAsia" w:hAnsiTheme="minorEastAsia" w:eastAsiaTheme="minorEastAsia" w:cstheme="minorEastAsia"/>
          <w:color w:val="auto"/>
          <w:sz w:val="24"/>
          <w:highlight w:val="none"/>
          <w:u w:val="single"/>
        </w:rPr>
        <w:t>某编号</w:t>
      </w:r>
      <w:r>
        <w:rPr>
          <w:rFonts w:hint="eastAsia" w:asciiTheme="minorEastAsia" w:hAnsiTheme="minorEastAsia" w:eastAsiaTheme="minorEastAsia" w:cstheme="minorEastAsia"/>
          <w:color w:val="auto"/>
          <w:sz w:val="24"/>
          <w:highlight w:val="none"/>
        </w:rPr>
        <w:t>），全权代表本公司处理采购过程的一切事宜。响应供应商授权代表在采购过程中所签署的一切文件和处理与之有关的一切事务，本公司均予以认可并对此承担责任。响应供应商授权代表无转委托权。</w:t>
      </w:r>
    </w:p>
    <w:p w14:paraId="588E26CD">
      <w:pPr>
        <w:pStyle w:val="7"/>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特此授权。</w:t>
      </w:r>
    </w:p>
    <w:p w14:paraId="23A8DD67">
      <w:pPr>
        <w:pStyle w:val="7"/>
        <w:snapToGrid w:val="0"/>
        <w:spacing w:line="560" w:lineRule="exact"/>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本授权书自出具之日起生效。</w:t>
      </w:r>
    </w:p>
    <w:p w14:paraId="53700661">
      <w:pPr>
        <w:spacing w:line="360" w:lineRule="auto"/>
        <w:rPr>
          <w:rFonts w:asciiTheme="minorEastAsia" w:hAnsiTheme="minorEastAsia" w:eastAsiaTheme="minorEastAsia" w:cstheme="minorEastAsia"/>
          <w:color w:val="auto"/>
          <w:sz w:val="24"/>
          <w:highlight w:val="none"/>
        </w:rPr>
      </w:pPr>
    </w:p>
    <w:p w14:paraId="0AC10706">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授权代表（或法定代表人）身份证明扫描件或影印件：</w:t>
      </w:r>
    </w:p>
    <w:p w14:paraId="0F7A6275">
      <w:pPr>
        <w:spacing w:line="360" w:lineRule="auto"/>
        <w:rPr>
          <w:rFonts w:asciiTheme="minorEastAsia" w:hAnsiTheme="minorEastAsia" w:eastAsiaTheme="minorEastAsia" w:cstheme="minorEastAsia"/>
          <w:color w:val="auto"/>
          <w:sz w:val="24"/>
          <w:highlight w:val="none"/>
        </w:rPr>
      </w:pPr>
    </w:p>
    <w:p w14:paraId="6B584AB3">
      <w:pPr>
        <w:spacing w:line="360" w:lineRule="auto"/>
        <w:rPr>
          <w:rFonts w:asciiTheme="minorEastAsia" w:hAnsiTheme="minorEastAsia" w:eastAsiaTheme="minorEastAsia" w:cstheme="minorEastAsia"/>
          <w:color w:val="auto"/>
          <w:sz w:val="24"/>
          <w:highlight w:val="none"/>
        </w:rPr>
      </w:pPr>
    </w:p>
    <w:p w14:paraId="53776645">
      <w:pPr>
        <w:spacing w:line="360" w:lineRule="auto"/>
        <w:rPr>
          <w:rFonts w:asciiTheme="minorEastAsia" w:hAnsiTheme="minorEastAsia" w:eastAsiaTheme="minorEastAsia" w:cstheme="minorEastAsia"/>
          <w:color w:val="auto"/>
          <w:sz w:val="24"/>
          <w:highlight w:val="none"/>
        </w:rPr>
      </w:pPr>
    </w:p>
    <w:p w14:paraId="46414D3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授权代表（或法定代表人）联系方式：</w:t>
      </w:r>
      <w:r>
        <w:rPr>
          <w:rFonts w:hint="eastAsia" w:asciiTheme="minorEastAsia" w:hAnsiTheme="minorEastAsia" w:eastAsiaTheme="minorEastAsia" w:cstheme="minorEastAsia"/>
          <w:color w:val="auto"/>
          <w:sz w:val="24"/>
          <w:highlight w:val="none"/>
        </w:rPr>
        <w:t>（请填写手机号码）</w:t>
      </w:r>
    </w:p>
    <w:p w14:paraId="2369CCA2">
      <w:pPr>
        <w:spacing w:line="360" w:lineRule="auto"/>
        <w:ind w:firstLine="645"/>
        <w:rPr>
          <w:rFonts w:asciiTheme="minorEastAsia" w:hAnsiTheme="minorEastAsia" w:eastAsiaTheme="minorEastAsia" w:cstheme="minorEastAsia"/>
          <w:color w:val="auto"/>
          <w:sz w:val="24"/>
          <w:highlight w:val="none"/>
        </w:rPr>
      </w:pPr>
    </w:p>
    <w:p w14:paraId="2348579A">
      <w:pPr>
        <w:spacing w:line="360" w:lineRule="auto"/>
        <w:rPr>
          <w:rFonts w:asciiTheme="minorEastAsia" w:hAnsiTheme="minorEastAsia" w:eastAsiaTheme="minorEastAsia" w:cstheme="minorEastAsia"/>
          <w:color w:val="auto"/>
          <w:sz w:val="24"/>
          <w:highlight w:val="none"/>
        </w:rPr>
      </w:pPr>
    </w:p>
    <w:p w14:paraId="20A0F2DF">
      <w:pPr>
        <w:spacing w:line="360" w:lineRule="auto"/>
        <w:rPr>
          <w:rFonts w:asciiTheme="minorEastAsia" w:hAnsiTheme="minorEastAsia" w:eastAsiaTheme="minorEastAsia" w:cstheme="minorEastAsia"/>
          <w:color w:val="auto"/>
          <w:sz w:val="24"/>
          <w:highlight w:val="none"/>
        </w:rPr>
      </w:pPr>
    </w:p>
    <w:p w14:paraId="6CF6FBC7">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供应商（公章）：</w:t>
      </w:r>
    </w:p>
    <w:p w14:paraId="0A2A6F91">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2EE583FB">
      <w:pPr>
        <w:rPr>
          <w:rFonts w:asciiTheme="minorEastAsia" w:hAnsiTheme="minorEastAsia" w:eastAsiaTheme="minorEastAsia" w:cstheme="minorEastAsia"/>
          <w:color w:val="auto"/>
          <w:sz w:val="24"/>
          <w:highlight w:val="none"/>
        </w:rPr>
      </w:pPr>
    </w:p>
    <w:p w14:paraId="051BD7FF">
      <w:pPr>
        <w:pStyle w:val="7"/>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w:t>
      </w:r>
    </w:p>
    <w:p w14:paraId="4156DC84">
      <w:pPr>
        <w:pStyle w:val="7"/>
        <w:numPr>
          <w:ilvl w:val="0"/>
          <w:numId w:val="6"/>
        </w:numPr>
        <w:snapToGrid w:val="0"/>
        <w:spacing w:line="360" w:lineRule="auto"/>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本项目只允许有唯一的响应供应商授权代表（提供身份证明扫描件或影印件及联系方式）；</w:t>
      </w:r>
    </w:p>
    <w:p w14:paraId="17C5582D">
      <w:pPr>
        <w:pStyle w:val="7"/>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2、法定代表人参加的，无需提供授权委托书，仅提供身份证明扫描件或影印件及联系方式即可。</w:t>
      </w:r>
    </w:p>
    <w:p w14:paraId="2890F972">
      <w:pPr>
        <w:rPr>
          <w:rFonts w:asciiTheme="minorEastAsia" w:hAnsiTheme="minorEastAsia" w:eastAsiaTheme="minorEastAsia" w:cstheme="minorEastAsia"/>
          <w:color w:val="auto"/>
          <w:sz w:val="24"/>
          <w:highlight w:val="none"/>
        </w:rPr>
      </w:pPr>
    </w:p>
    <w:bookmarkEnd w:id="50"/>
    <w:bookmarkEnd w:id="51"/>
    <w:bookmarkEnd w:id="52"/>
    <w:bookmarkEnd w:id="53"/>
    <w:bookmarkEnd w:id="56"/>
    <w:p w14:paraId="25E937D9">
      <w:pPr>
        <w:rPr>
          <w:rStyle w:val="33"/>
          <w:rFonts w:ascii="宋体" w:hAnsi="宋体" w:eastAsia="宋体" w:cs="宋体"/>
          <w:color w:val="auto"/>
          <w:sz w:val="24"/>
          <w:szCs w:val="24"/>
          <w:highlight w:val="none"/>
        </w:rPr>
      </w:pPr>
      <w:bookmarkStart w:id="59" w:name="_Toc26032"/>
      <w:bookmarkStart w:id="60" w:name="_Toc18671568"/>
      <w:bookmarkStart w:id="61" w:name="_Toc533314960"/>
      <w:bookmarkStart w:id="62" w:name="_Toc272163840"/>
      <w:r>
        <w:rPr>
          <w:rStyle w:val="33"/>
          <w:rFonts w:hint="eastAsia" w:ascii="宋体" w:hAnsi="宋体" w:eastAsia="宋体" w:cs="宋体"/>
          <w:color w:val="auto"/>
          <w:sz w:val="24"/>
          <w:szCs w:val="24"/>
          <w:highlight w:val="none"/>
        </w:rPr>
        <w:br w:type="page"/>
      </w:r>
    </w:p>
    <w:p w14:paraId="054A177F">
      <w:pPr>
        <w:spacing w:line="560" w:lineRule="exact"/>
        <w:jc w:val="center"/>
        <w:rPr>
          <w:rFonts w:asciiTheme="minorEastAsia" w:hAnsiTheme="minorEastAsia" w:eastAsiaTheme="minorEastAsia" w:cstheme="minorEastAsia"/>
          <w:color w:val="auto"/>
          <w:sz w:val="24"/>
          <w:highlight w:val="none"/>
        </w:rPr>
      </w:pPr>
      <w:bookmarkStart w:id="63" w:name="_Toc7103"/>
      <w:r>
        <w:rPr>
          <w:rStyle w:val="33"/>
          <w:rFonts w:hint="eastAsia" w:ascii="宋体" w:hAnsi="宋体" w:eastAsia="宋体" w:cs="宋体"/>
          <w:color w:val="auto"/>
          <w:sz w:val="24"/>
          <w:szCs w:val="24"/>
          <w:highlight w:val="none"/>
        </w:rPr>
        <w:t>五、服务分项报价表</w:t>
      </w:r>
      <w:bookmarkEnd w:id="59"/>
      <w:bookmarkEnd w:id="63"/>
    </w:p>
    <w:p w14:paraId="48813B6A">
      <w:pPr>
        <w:pStyle w:val="30"/>
        <w:ind w:firstLine="0" w:firstLineChars="0"/>
        <w:rPr>
          <w:rFonts w:asciiTheme="minorEastAsia" w:hAnsiTheme="minorEastAsia" w:eastAsiaTheme="minorEastAsia" w:cstheme="minorEastAsia"/>
          <w:color w:val="auto"/>
          <w:sz w:val="24"/>
          <w:highlight w:val="none"/>
        </w:rPr>
      </w:pPr>
    </w:p>
    <w:tbl>
      <w:tblPr>
        <w:tblStyle w:val="18"/>
        <w:tblW w:w="878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14:paraId="1FCFB2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Align w:val="center"/>
          </w:tcPr>
          <w:p w14:paraId="03790926">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5234" w:type="dxa"/>
            <w:vAlign w:val="center"/>
          </w:tcPr>
          <w:p w14:paraId="2B0A2396">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内容</w:t>
            </w:r>
          </w:p>
        </w:tc>
        <w:tc>
          <w:tcPr>
            <w:tcW w:w="1559" w:type="dxa"/>
            <w:vAlign w:val="center"/>
          </w:tcPr>
          <w:p w14:paraId="2F5651B8">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总价</w:t>
            </w:r>
          </w:p>
          <w:p w14:paraId="62C40158">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（元）</w:t>
            </w:r>
          </w:p>
        </w:tc>
        <w:tc>
          <w:tcPr>
            <w:tcW w:w="1276" w:type="dxa"/>
            <w:vAlign w:val="center"/>
          </w:tcPr>
          <w:p w14:paraId="5EE0A0CB">
            <w:pPr>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备注</w:t>
            </w:r>
          </w:p>
        </w:tc>
      </w:tr>
      <w:tr w14:paraId="5B0BB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3C40F968">
            <w:pPr>
              <w:jc w:val="center"/>
              <w:rPr>
                <w:rFonts w:asciiTheme="minorEastAsia" w:hAnsiTheme="minorEastAsia" w:eastAsiaTheme="minorEastAsia" w:cstheme="minorEastAsia"/>
                <w:color w:val="auto"/>
                <w:sz w:val="24"/>
                <w:highlight w:val="none"/>
              </w:rPr>
            </w:pPr>
          </w:p>
        </w:tc>
        <w:tc>
          <w:tcPr>
            <w:tcW w:w="5234" w:type="dxa"/>
            <w:vAlign w:val="center"/>
          </w:tcPr>
          <w:p w14:paraId="4F4B7A0F">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拟提供的服务费用</w:t>
            </w:r>
          </w:p>
        </w:tc>
        <w:tc>
          <w:tcPr>
            <w:tcW w:w="1559" w:type="dxa"/>
            <w:vAlign w:val="center"/>
          </w:tcPr>
          <w:p w14:paraId="04340FD5">
            <w:pPr>
              <w:jc w:val="center"/>
              <w:rPr>
                <w:rFonts w:asciiTheme="minorEastAsia" w:hAnsiTheme="minorEastAsia" w:eastAsiaTheme="minorEastAsia" w:cstheme="minorEastAsia"/>
                <w:color w:val="auto"/>
                <w:sz w:val="24"/>
                <w:highlight w:val="none"/>
              </w:rPr>
            </w:pPr>
          </w:p>
        </w:tc>
        <w:tc>
          <w:tcPr>
            <w:tcW w:w="1276" w:type="dxa"/>
            <w:vMerge w:val="restart"/>
            <w:vAlign w:val="center"/>
          </w:tcPr>
          <w:p w14:paraId="553088CE">
            <w:pPr>
              <w:jc w:val="center"/>
              <w:rPr>
                <w:rFonts w:asciiTheme="minorEastAsia" w:hAnsiTheme="minorEastAsia" w:eastAsiaTheme="minorEastAsia" w:cstheme="minorEastAsia"/>
                <w:color w:val="auto"/>
                <w:sz w:val="24"/>
                <w:highlight w:val="none"/>
              </w:rPr>
            </w:pPr>
          </w:p>
        </w:tc>
      </w:tr>
      <w:tr w14:paraId="650BE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B4FD855">
            <w:pPr>
              <w:jc w:val="center"/>
              <w:rPr>
                <w:rFonts w:asciiTheme="minorEastAsia" w:hAnsiTheme="minorEastAsia" w:eastAsiaTheme="minorEastAsia" w:cstheme="minorEastAsia"/>
                <w:color w:val="auto"/>
                <w:sz w:val="24"/>
                <w:highlight w:val="none"/>
              </w:rPr>
            </w:pPr>
          </w:p>
        </w:tc>
        <w:tc>
          <w:tcPr>
            <w:tcW w:w="5234" w:type="dxa"/>
            <w:vAlign w:val="center"/>
          </w:tcPr>
          <w:p w14:paraId="174F3DE0">
            <w:pPr>
              <w:jc w:val="center"/>
              <w:rPr>
                <w:rFonts w:asciiTheme="minorEastAsia" w:hAnsiTheme="minorEastAsia" w:eastAsiaTheme="minorEastAsia" w:cstheme="minorEastAsia"/>
                <w:color w:val="auto"/>
                <w:sz w:val="24"/>
                <w:highlight w:val="none"/>
              </w:rPr>
            </w:pPr>
          </w:p>
        </w:tc>
        <w:tc>
          <w:tcPr>
            <w:tcW w:w="1559" w:type="dxa"/>
            <w:vAlign w:val="center"/>
          </w:tcPr>
          <w:p w14:paraId="5B07425A">
            <w:pPr>
              <w:jc w:val="center"/>
              <w:rPr>
                <w:rFonts w:asciiTheme="minorEastAsia" w:hAnsiTheme="minorEastAsia" w:eastAsiaTheme="minorEastAsia" w:cstheme="minorEastAsia"/>
                <w:color w:val="auto"/>
                <w:sz w:val="24"/>
                <w:highlight w:val="none"/>
              </w:rPr>
            </w:pPr>
          </w:p>
        </w:tc>
        <w:tc>
          <w:tcPr>
            <w:tcW w:w="1276" w:type="dxa"/>
            <w:vMerge w:val="continue"/>
          </w:tcPr>
          <w:p w14:paraId="4949BCD2">
            <w:pPr>
              <w:rPr>
                <w:rFonts w:asciiTheme="minorEastAsia" w:hAnsiTheme="minorEastAsia" w:eastAsiaTheme="minorEastAsia" w:cstheme="minorEastAsia"/>
                <w:color w:val="auto"/>
                <w:sz w:val="24"/>
                <w:highlight w:val="none"/>
              </w:rPr>
            </w:pPr>
          </w:p>
        </w:tc>
      </w:tr>
      <w:tr w14:paraId="2BA92A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2A7B7016">
            <w:pPr>
              <w:jc w:val="center"/>
              <w:rPr>
                <w:rFonts w:asciiTheme="minorEastAsia" w:hAnsiTheme="minorEastAsia" w:eastAsiaTheme="minorEastAsia" w:cstheme="minorEastAsia"/>
                <w:color w:val="auto"/>
                <w:sz w:val="24"/>
                <w:highlight w:val="none"/>
              </w:rPr>
            </w:pPr>
          </w:p>
        </w:tc>
        <w:tc>
          <w:tcPr>
            <w:tcW w:w="5234" w:type="dxa"/>
            <w:vAlign w:val="center"/>
          </w:tcPr>
          <w:p w14:paraId="2762A03B">
            <w:pPr>
              <w:jc w:val="center"/>
              <w:rPr>
                <w:rFonts w:asciiTheme="minorEastAsia" w:hAnsiTheme="minorEastAsia" w:eastAsiaTheme="minorEastAsia" w:cstheme="minorEastAsia"/>
                <w:color w:val="auto"/>
                <w:sz w:val="24"/>
                <w:highlight w:val="none"/>
              </w:rPr>
            </w:pPr>
          </w:p>
        </w:tc>
        <w:tc>
          <w:tcPr>
            <w:tcW w:w="1559" w:type="dxa"/>
            <w:vAlign w:val="center"/>
          </w:tcPr>
          <w:p w14:paraId="4165BA38">
            <w:pPr>
              <w:jc w:val="center"/>
              <w:rPr>
                <w:rFonts w:asciiTheme="minorEastAsia" w:hAnsiTheme="minorEastAsia" w:eastAsiaTheme="minorEastAsia" w:cstheme="minorEastAsia"/>
                <w:color w:val="auto"/>
                <w:sz w:val="24"/>
                <w:highlight w:val="none"/>
              </w:rPr>
            </w:pPr>
          </w:p>
        </w:tc>
        <w:tc>
          <w:tcPr>
            <w:tcW w:w="1276" w:type="dxa"/>
            <w:vMerge w:val="continue"/>
          </w:tcPr>
          <w:p w14:paraId="487A19F9">
            <w:pPr>
              <w:rPr>
                <w:rFonts w:asciiTheme="minorEastAsia" w:hAnsiTheme="minorEastAsia" w:eastAsiaTheme="minorEastAsia" w:cstheme="minorEastAsia"/>
                <w:color w:val="auto"/>
                <w:sz w:val="24"/>
                <w:highlight w:val="none"/>
              </w:rPr>
            </w:pPr>
          </w:p>
        </w:tc>
      </w:tr>
      <w:tr w14:paraId="457A4D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34AD805">
            <w:pPr>
              <w:jc w:val="center"/>
              <w:rPr>
                <w:rFonts w:asciiTheme="minorEastAsia" w:hAnsiTheme="minorEastAsia" w:eastAsiaTheme="minorEastAsia" w:cstheme="minorEastAsia"/>
                <w:color w:val="auto"/>
                <w:sz w:val="24"/>
                <w:highlight w:val="none"/>
              </w:rPr>
            </w:pPr>
          </w:p>
        </w:tc>
        <w:tc>
          <w:tcPr>
            <w:tcW w:w="5234" w:type="dxa"/>
            <w:vAlign w:val="center"/>
          </w:tcPr>
          <w:p w14:paraId="74583618">
            <w:pPr>
              <w:jc w:val="center"/>
              <w:rPr>
                <w:rFonts w:asciiTheme="minorEastAsia" w:hAnsiTheme="minorEastAsia" w:eastAsiaTheme="minorEastAsia" w:cstheme="minorEastAsia"/>
                <w:color w:val="auto"/>
                <w:sz w:val="24"/>
                <w:highlight w:val="none"/>
              </w:rPr>
            </w:pPr>
          </w:p>
        </w:tc>
        <w:tc>
          <w:tcPr>
            <w:tcW w:w="1559" w:type="dxa"/>
            <w:vAlign w:val="center"/>
          </w:tcPr>
          <w:p w14:paraId="4A309C34">
            <w:pPr>
              <w:jc w:val="center"/>
              <w:rPr>
                <w:rFonts w:asciiTheme="minorEastAsia" w:hAnsiTheme="minorEastAsia" w:eastAsiaTheme="minorEastAsia" w:cstheme="minorEastAsia"/>
                <w:color w:val="auto"/>
                <w:sz w:val="24"/>
                <w:highlight w:val="none"/>
              </w:rPr>
            </w:pPr>
          </w:p>
        </w:tc>
        <w:tc>
          <w:tcPr>
            <w:tcW w:w="1276" w:type="dxa"/>
            <w:vMerge w:val="continue"/>
          </w:tcPr>
          <w:p w14:paraId="2F5504B1">
            <w:pPr>
              <w:rPr>
                <w:rFonts w:asciiTheme="minorEastAsia" w:hAnsiTheme="minorEastAsia" w:eastAsiaTheme="minorEastAsia" w:cstheme="minorEastAsia"/>
                <w:color w:val="auto"/>
                <w:sz w:val="24"/>
                <w:highlight w:val="none"/>
              </w:rPr>
            </w:pPr>
          </w:p>
        </w:tc>
      </w:tr>
      <w:tr w14:paraId="053F52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0AFFF8B">
            <w:pPr>
              <w:jc w:val="center"/>
              <w:rPr>
                <w:rFonts w:asciiTheme="minorEastAsia" w:hAnsiTheme="minorEastAsia" w:eastAsiaTheme="minorEastAsia" w:cstheme="minorEastAsia"/>
                <w:color w:val="auto"/>
                <w:sz w:val="24"/>
                <w:highlight w:val="none"/>
              </w:rPr>
            </w:pPr>
          </w:p>
        </w:tc>
        <w:tc>
          <w:tcPr>
            <w:tcW w:w="5234" w:type="dxa"/>
            <w:vAlign w:val="center"/>
          </w:tcPr>
          <w:p w14:paraId="64F5E443">
            <w:pPr>
              <w:jc w:val="center"/>
              <w:rPr>
                <w:rFonts w:asciiTheme="minorEastAsia" w:hAnsiTheme="minorEastAsia" w:eastAsiaTheme="minorEastAsia" w:cstheme="minorEastAsia"/>
                <w:color w:val="auto"/>
                <w:sz w:val="24"/>
                <w:highlight w:val="none"/>
              </w:rPr>
            </w:pPr>
          </w:p>
        </w:tc>
        <w:tc>
          <w:tcPr>
            <w:tcW w:w="1559" w:type="dxa"/>
            <w:vAlign w:val="center"/>
          </w:tcPr>
          <w:p w14:paraId="7452247A">
            <w:pPr>
              <w:jc w:val="center"/>
              <w:rPr>
                <w:rFonts w:asciiTheme="minorEastAsia" w:hAnsiTheme="minorEastAsia" w:eastAsiaTheme="minorEastAsia" w:cstheme="minorEastAsia"/>
                <w:color w:val="auto"/>
                <w:sz w:val="24"/>
                <w:highlight w:val="none"/>
              </w:rPr>
            </w:pPr>
          </w:p>
        </w:tc>
        <w:tc>
          <w:tcPr>
            <w:tcW w:w="1276" w:type="dxa"/>
            <w:vMerge w:val="continue"/>
          </w:tcPr>
          <w:p w14:paraId="5B8CC7E8">
            <w:pPr>
              <w:rPr>
                <w:rFonts w:asciiTheme="minorEastAsia" w:hAnsiTheme="minorEastAsia" w:eastAsiaTheme="minorEastAsia" w:cstheme="minorEastAsia"/>
                <w:color w:val="auto"/>
                <w:sz w:val="24"/>
                <w:highlight w:val="none"/>
              </w:rPr>
            </w:pPr>
          </w:p>
        </w:tc>
      </w:tr>
      <w:tr w14:paraId="70EEC8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0FE6FD1B">
            <w:pPr>
              <w:jc w:val="center"/>
              <w:rPr>
                <w:rFonts w:asciiTheme="minorEastAsia" w:hAnsiTheme="minorEastAsia" w:eastAsiaTheme="minorEastAsia" w:cstheme="minorEastAsia"/>
                <w:color w:val="auto"/>
                <w:sz w:val="24"/>
                <w:highlight w:val="none"/>
              </w:rPr>
            </w:pPr>
          </w:p>
        </w:tc>
        <w:tc>
          <w:tcPr>
            <w:tcW w:w="5234" w:type="dxa"/>
            <w:vAlign w:val="center"/>
          </w:tcPr>
          <w:p w14:paraId="116CDE7A">
            <w:pPr>
              <w:jc w:val="center"/>
              <w:rPr>
                <w:rFonts w:asciiTheme="minorEastAsia" w:hAnsiTheme="minorEastAsia" w:eastAsiaTheme="minorEastAsia" w:cstheme="minorEastAsia"/>
                <w:color w:val="auto"/>
                <w:sz w:val="24"/>
                <w:highlight w:val="none"/>
              </w:rPr>
            </w:pPr>
          </w:p>
        </w:tc>
        <w:tc>
          <w:tcPr>
            <w:tcW w:w="1559" w:type="dxa"/>
            <w:vAlign w:val="center"/>
          </w:tcPr>
          <w:p w14:paraId="27569807">
            <w:pPr>
              <w:jc w:val="center"/>
              <w:rPr>
                <w:rFonts w:asciiTheme="minorEastAsia" w:hAnsiTheme="minorEastAsia" w:eastAsiaTheme="minorEastAsia" w:cstheme="minorEastAsia"/>
                <w:color w:val="auto"/>
                <w:sz w:val="24"/>
                <w:highlight w:val="none"/>
              </w:rPr>
            </w:pPr>
          </w:p>
        </w:tc>
        <w:tc>
          <w:tcPr>
            <w:tcW w:w="1276" w:type="dxa"/>
            <w:vMerge w:val="continue"/>
          </w:tcPr>
          <w:p w14:paraId="7F2983A1">
            <w:pPr>
              <w:rPr>
                <w:rFonts w:asciiTheme="minorEastAsia" w:hAnsiTheme="minorEastAsia" w:eastAsiaTheme="minorEastAsia" w:cstheme="minorEastAsia"/>
                <w:color w:val="auto"/>
                <w:sz w:val="24"/>
                <w:highlight w:val="none"/>
              </w:rPr>
            </w:pPr>
          </w:p>
        </w:tc>
      </w:tr>
      <w:tr w14:paraId="5A7BE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6B43AEA9">
            <w:pPr>
              <w:jc w:val="center"/>
              <w:rPr>
                <w:rFonts w:asciiTheme="minorEastAsia" w:hAnsiTheme="minorEastAsia" w:eastAsiaTheme="minorEastAsia" w:cstheme="minorEastAsia"/>
                <w:color w:val="auto"/>
                <w:sz w:val="24"/>
                <w:highlight w:val="none"/>
              </w:rPr>
            </w:pPr>
          </w:p>
        </w:tc>
        <w:tc>
          <w:tcPr>
            <w:tcW w:w="5234" w:type="dxa"/>
            <w:vAlign w:val="center"/>
          </w:tcPr>
          <w:p w14:paraId="7F11263E">
            <w:pPr>
              <w:jc w:val="center"/>
              <w:rPr>
                <w:rFonts w:asciiTheme="minorEastAsia" w:hAnsiTheme="minorEastAsia" w:eastAsiaTheme="minorEastAsia" w:cstheme="minorEastAsia"/>
                <w:color w:val="auto"/>
                <w:sz w:val="24"/>
                <w:highlight w:val="none"/>
              </w:rPr>
            </w:pPr>
          </w:p>
        </w:tc>
        <w:tc>
          <w:tcPr>
            <w:tcW w:w="1559" w:type="dxa"/>
            <w:vAlign w:val="center"/>
          </w:tcPr>
          <w:p w14:paraId="44558A53">
            <w:pPr>
              <w:jc w:val="center"/>
              <w:rPr>
                <w:rFonts w:asciiTheme="minorEastAsia" w:hAnsiTheme="minorEastAsia" w:eastAsiaTheme="minorEastAsia" w:cstheme="minorEastAsia"/>
                <w:color w:val="auto"/>
                <w:sz w:val="24"/>
                <w:highlight w:val="none"/>
              </w:rPr>
            </w:pPr>
          </w:p>
        </w:tc>
        <w:tc>
          <w:tcPr>
            <w:tcW w:w="1276" w:type="dxa"/>
            <w:vMerge w:val="continue"/>
          </w:tcPr>
          <w:p w14:paraId="5812A395">
            <w:pPr>
              <w:rPr>
                <w:rFonts w:asciiTheme="minorEastAsia" w:hAnsiTheme="minorEastAsia" w:eastAsiaTheme="minorEastAsia" w:cstheme="minorEastAsia"/>
                <w:color w:val="auto"/>
                <w:sz w:val="24"/>
                <w:highlight w:val="none"/>
              </w:rPr>
            </w:pPr>
          </w:p>
        </w:tc>
      </w:tr>
      <w:tr w14:paraId="682C93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1C03E3B1">
            <w:pPr>
              <w:jc w:val="center"/>
              <w:rPr>
                <w:rFonts w:asciiTheme="minorEastAsia" w:hAnsiTheme="minorEastAsia" w:eastAsiaTheme="minorEastAsia" w:cstheme="minorEastAsia"/>
                <w:color w:val="auto"/>
                <w:sz w:val="24"/>
                <w:highlight w:val="none"/>
              </w:rPr>
            </w:pPr>
          </w:p>
        </w:tc>
        <w:tc>
          <w:tcPr>
            <w:tcW w:w="5234" w:type="dxa"/>
            <w:vAlign w:val="center"/>
          </w:tcPr>
          <w:p w14:paraId="44C4A26A">
            <w:pPr>
              <w:jc w:val="center"/>
              <w:rPr>
                <w:rFonts w:asciiTheme="minorEastAsia" w:hAnsiTheme="minorEastAsia" w:eastAsiaTheme="minorEastAsia" w:cstheme="minorEastAsia"/>
                <w:color w:val="auto"/>
                <w:sz w:val="24"/>
                <w:highlight w:val="none"/>
              </w:rPr>
            </w:pPr>
          </w:p>
        </w:tc>
        <w:tc>
          <w:tcPr>
            <w:tcW w:w="1559" w:type="dxa"/>
            <w:vAlign w:val="center"/>
          </w:tcPr>
          <w:p w14:paraId="10E72C9A">
            <w:pPr>
              <w:jc w:val="center"/>
              <w:rPr>
                <w:rFonts w:asciiTheme="minorEastAsia" w:hAnsiTheme="minorEastAsia" w:eastAsiaTheme="minorEastAsia" w:cstheme="minorEastAsia"/>
                <w:color w:val="auto"/>
                <w:sz w:val="24"/>
                <w:highlight w:val="none"/>
              </w:rPr>
            </w:pPr>
          </w:p>
        </w:tc>
        <w:tc>
          <w:tcPr>
            <w:tcW w:w="1276" w:type="dxa"/>
            <w:vMerge w:val="continue"/>
          </w:tcPr>
          <w:p w14:paraId="71E321F6">
            <w:pPr>
              <w:rPr>
                <w:rFonts w:asciiTheme="minorEastAsia" w:hAnsiTheme="minorEastAsia" w:eastAsiaTheme="minorEastAsia" w:cstheme="minorEastAsia"/>
                <w:color w:val="auto"/>
                <w:sz w:val="24"/>
                <w:highlight w:val="none"/>
              </w:rPr>
            </w:pPr>
          </w:p>
        </w:tc>
      </w:tr>
      <w:tr w14:paraId="46997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58FBEA37">
            <w:pPr>
              <w:jc w:val="center"/>
              <w:rPr>
                <w:rFonts w:asciiTheme="minorEastAsia" w:hAnsiTheme="minorEastAsia" w:eastAsiaTheme="minorEastAsia" w:cstheme="minorEastAsia"/>
                <w:color w:val="auto"/>
                <w:sz w:val="24"/>
                <w:highlight w:val="none"/>
              </w:rPr>
            </w:pPr>
          </w:p>
        </w:tc>
        <w:tc>
          <w:tcPr>
            <w:tcW w:w="5234" w:type="dxa"/>
            <w:vAlign w:val="center"/>
          </w:tcPr>
          <w:p w14:paraId="6FB9DDA6">
            <w:pPr>
              <w:jc w:val="center"/>
              <w:rPr>
                <w:rFonts w:asciiTheme="minorEastAsia" w:hAnsiTheme="minorEastAsia" w:eastAsiaTheme="minorEastAsia" w:cstheme="minorEastAsia"/>
                <w:color w:val="auto"/>
                <w:sz w:val="24"/>
                <w:highlight w:val="none"/>
              </w:rPr>
            </w:pPr>
          </w:p>
        </w:tc>
        <w:tc>
          <w:tcPr>
            <w:tcW w:w="1559" w:type="dxa"/>
            <w:vAlign w:val="center"/>
          </w:tcPr>
          <w:p w14:paraId="789B0E5E">
            <w:pPr>
              <w:jc w:val="center"/>
              <w:rPr>
                <w:rFonts w:asciiTheme="minorEastAsia" w:hAnsiTheme="minorEastAsia" w:eastAsiaTheme="minorEastAsia" w:cstheme="minorEastAsia"/>
                <w:color w:val="auto"/>
                <w:sz w:val="24"/>
                <w:highlight w:val="none"/>
              </w:rPr>
            </w:pPr>
          </w:p>
        </w:tc>
        <w:tc>
          <w:tcPr>
            <w:tcW w:w="1276" w:type="dxa"/>
            <w:vMerge w:val="continue"/>
          </w:tcPr>
          <w:p w14:paraId="0ACF6DA6">
            <w:pPr>
              <w:rPr>
                <w:rFonts w:asciiTheme="minorEastAsia" w:hAnsiTheme="minorEastAsia" w:eastAsiaTheme="minorEastAsia" w:cstheme="minorEastAsia"/>
                <w:color w:val="auto"/>
                <w:sz w:val="24"/>
                <w:highlight w:val="none"/>
              </w:rPr>
            </w:pPr>
          </w:p>
        </w:tc>
      </w:tr>
      <w:tr w14:paraId="72A595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5C2991AA">
            <w:pPr>
              <w:jc w:val="center"/>
              <w:rPr>
                <w:rFonts w:asciiTheme="minorEastAsia" w:hAnsiTheme="minorEastAsia" w:eastAsiaTheme="minorEastAsia" w:cstheme="minorEastAsia"/>
                <w:color w:val="auto"/>
                <w:sz w:val="24"/>
                <w:highlight w:val="none"/>
              </w:rPr>
            </w:pPr>
          </w:p>
        </w:tc>
        <w:tc>
          <w:tcPr>
            <w:tcW w:w="5234" w:type="dxa"/>
            <w:vAlign w:val="center"/>
          </w:tcPr>
          <w:p w14:paraId="0933E6C2">
            <w:pPr>
              <w:jc w:val="center"/>
              <w:rPr>
                <w:rFonts w:asciiTheme="minorEastAsia" w:hAnsiTheme="minorEastAsia" w:eastAsiaTheme="minorEastAsia" w:cstheme="minorEastAsia"/>
                <w:color w:val="auto"/>
                <w:sz w:val="24"/>
                <w:highlight w:val="none"/>
              </w:rPr>
            </w:pPr>
          </w:p>
        </w:tc>
        <w:tc>
          <w:tcPr>
            <w:tcW w:w="1559" w:type="dxa"/>
            <w:vAlign w:val="center"/>
          </w:tcPr>
          <w:p w14:paraId="149DB277">
            <w:pPr>
              <w:jc w:val="center"/>
              <w:rPr>
                <w:rFonts w:asciiTheme="minorEastAsia" w:hAnsiTheme="minorEastAsia" w:eastAsiaTheme="minorEastAsia" w:cstheme="minorEastAsia"/>
                <w:color w:val="auto"/>
                <w:sz w:val="24"/>
                <w:highlight w:val="none"/>
              </w:rPr>
            </w:pPr>
          </w:p>
        </w:tc>
        <w:tc>
          <w:tcPr>
            <w:tcW w:w="1276" w:type="dxa"/>
            <w:vMerge w:val="continue"/>
          </w:tcPr>
          <w:p w14:paraId="7871D79F">
            <w:pPr>
              <w:rPr>
                <w:rFonts w:asciiTheme="minorEastAsia" w:hAnsiTheme="minorEastAsia" w:eastAsiaTheme="minorEastAsia" w:cstheme="minorEastAsia"/>
                <w:color w:val="auto"/>
                <w:sz w:val="24"/>
                <w:highlight w:val="none"/>
              </w:rPr>
            </w:pPr>
          </w:p>
        </w:tc>
      </w:tr>
      <w:tr w14:paraId="6F4D2D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136B9944">
            <w:pPr>
              <w:jc w:val="center"/>
              <w:rPr>
                <w:rFonts w:asciiTheme="minorEastAsia" w:hAnsiTheme="minorEastAsia" w:eastAsiaTheme="minorEastAsia" w:cstheme="minorEastAsia"/>
                <w:color w:val="auto"/>
                <w:sz w:val="24"/>
                <w:highlight w:val="none"/>
              </w:rPr>
            </w:pPr>
          </w:p>
        </w:tc>
        <w:tc>
          <w:tcPr>
            <w:tcW w:w="5234" w:type="dxa"/>
            <w:vAlign w:val="center"/>
          </w:tcPr>
          <w:p w14:paraId="45E4D537">
            <w:pPr>
              <w:jc w:val="center"/>
              <w:rPr>
                <w:rFonts w:asciiTheme="minorEastAsia" w:hAnsiTheme="minorEastAsia" w:eastAsiaTheme="minorEastAsia" w:cstheme="minorEastAsia"/>
                <w:color w:val="auto"/>
                <w:sz w:val="24"/>
                <w:highlight w:val="none"/>
              </w:rPr>
            </w:pPr>
          </w:p>
        </w:tc>
        <w:tc>
          <w:tcPr>
            <w:tcW w:w="1559" w:type="dxa"/>
            <w:vAlign w:val="center"/>
          </w:tcPr>
          <w:p w14:paraId="38BEEF5A">
            <w:pPr>
              <w:jc w:val="center"/>
              <w:rPr>
                <w:rFonts w:asciiTheme="minorEastAsia" w:hAnsiTheme="minorEastAsia" w:eastAsiaTheme="minorEastAsia" w:cstheme="minorEastAsia"/>
                <w:color w:val="auto"/>
                <w:sz w:val="24"/>
                <w:highlight w:val="none"/>
              </w:rPr>
            </w:pPr>
          </w:p>
        </w:tc>
        <w:tc>
          <w:tcPr>
            <w:tcW w:w="1276" w:type="dxa"/>
            <w:vMerge w:val="continue"/>
          </w:tcPr>
          <w:p w14:paraId="6701AA16">
            <w:pPr>
              <w:rPr>
                <w:rFonts w:asciiTheme="minorEastAsia" w:hAnsiTheme="minorEastAsia" w:eastAsiaTheme="minorEastAsia" w:cstheme="minorEastAsia"/>
                <w:color w:val="auto"/>
                <w:sz w:val="24"/>
                <w:highlight w:val="none"/>
              </w:rPr>
            </w:pPr>
          </w:p>
        </w:tc>
      </w:tr>
      <w:tr w14:paraId="762D9D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0" w:type="dxa"/>
            <w:vAlign w:val="center"/>
          </w:tcPr>
          <w:p w14:paraId="5DB3DF25">
            <w:pPr>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合计</w:t>
            </w:r>
          </w:p>
        </w:tc>
        <w:tc>
          <w:tcPr>
            <w:tcW w:w="5234" w:type="dxa"/>
            <w:vAlign w:val="center"/>
          </w:tcPr>
          <w:p w14:paraId="5970BB1E">
            <w:pPr>
              <w:jc w:val="center"/>
              <w:rPr>
                <w:rFonts w:asciiTheme="minorEastAsia" w:hAnsiTheme="minorEastAsia" w:eastAsiaTheme="minorEastAsia" w:cstheme="minorEastAsia"/>
                <w:b/>
                <w:color w:val="auto"/>
                <w:sz w:val="24"/>
                <w:highlight w:val="none"/>
              </w:rPr>
            </w:pPr>
          </w:p>
        </w:tc>
        <w:tc>
          <w:tcPr>
            <w:tcW w:w="1559" w:type="dxa"/>
            <w:vAlign w:val="center"/>
          </w:tcPr>
          <w:p w14:paraId="71A0991A">
            <w:pPr>
              <w:jc w:val="center"/>
              <w:rPr>
                <w:rFonts w:asciiTheme="minorEastAsia" w:hAnsiTheme="minorEastAsia" w:eastAsiaTheme="minorEastAsia" w:cstheme="minorEastAsia"/>
                <w:b/>
                <w:color w:val="auto"/>
                <w:sz w:val="24"/>
                <w:highlight w:val="none"/>
              </w:rPr>
            </w:pPr>
          </w:p>
        </w:tc>
        <w:tc>
          <w:tcPr>
            <w:tcW w:w="1276" w:type="dxa"/>
            <w:vMerge w:val="continue"/>
          </w:tcPr>
          <w:p w14:paraId="59982368">
            <w:pPr>
              <w:jc w:val="center"/>
              <w:rPr>
                <w:rFonts w:asciiTheme="minorEastAsia" w:hAnsiTheme="minorEastAsia" w:eastAsiaTheme="minorEastAsia" w:cstheme="minorEastAsia"/>
                <w:b/>
                <w:color w:val="auto"/>
                <w:sz w:val="24"/>
                <w:highlight w:val="none"/>
              </w:rPr>
            </w:pPr>
          </w:p>
        </w:tc>
      </w:tr>
    </w:tbl>
    <w:p w14:paraId="624988CC">
      <w:pPr>
        <w:rPr>
          <w:rFonts w:asciiTheme="minorEastAsia" w:hAnsiTheme="minorEastAsia" w:eastAsiaTheme="minorEastAsia" w:cstheme="minorEastAsia"/>
          <w:color w:val="auto"/>
          <w:sz w:val="24"/>
          <w:highlight w:val="none"/>
        </w:rPr>
      </w:pPr>
    </w:p>
    <w:p w14:paraId="476BABBF">
      <w:pPr>
        <w:pStyle w:val="3"/>
        <w:spacing w:before="156" w:beforeLines="50" w:after="156" w:afterLines="50" w:line="560" w:lineRule="exact"/>
        <w:jc w:val="left"/>
        <w:rPr>
          <w:rFonts w:asciiTheme="minorEastAsia" w:hAnsiTheme="minorEastAsia" w:eastAsiaTheme="minorEastAsia" w:cstheme="minorEastAsia"/>
          <w:color w:val="auto"/>
          <w:sz w:val="24"/>
          <w:szCs w:val="24"/>
          <w:highlight w:val="none"/>
        </w:rPr>
      </w:pPr>
      <w:bookmarkStart w:id="64" w:name="_Toc1727"/>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b w:val="0"/>
          <w:bCs w:val="0"/>
          <w:color w:val="auto"/>
          <w:sz w:val="24"/>
          <w:szCs w:val="24"/>
          <w:highlight w:val="none"/>
        </w:rPr>
        <w:t>本表应清楚地标明供应商拟提供的服务费用等内容，其合计价格应与响应一览表中的总报价保持一致。</w:t>
      </w:r>
      <w:bookmarkEnd w:id="64"/>
    </w:p>
    <w:p w14:paraId="3CE189F6">
      <w:pPr>
        <w:rPr>
          <w:rFonts w:asciiTheme="minorEastAsia" w:hAnsiTheme="minorEastAsia" w:eastAsiaTheme="minorEastAsia" w:cstheme="minorEastAsia"/>
          <w:color w:val="auto"/>
          <w:sz w:val="24"/>
          <w:highlight w:val="none"/>
        </w:rPr>
      </w:pPr>
    </w:p>
    <w:p w14:paraId="3A9EBD77">
      <w:pPr>
        <w:pStyle w:val="3"/>
        <w:spacing w:before="156" w:beforeLines="50" w:after="156" w:afterLines="50" w:line="560" w:lineRule="exact"/>
        <w:jc w:val="center"/>
        <w:rPr>
          <w:rFonts w:asciiTheme="minorEastAsia" w:hAnsiTheme="minorEastAsia" w:eastAsiaTheme="minorEastAsia" w:cstheme="minorEastAsia"/>
          <w:color w:val="auto"/>
          <w:sz w:val="24"/>
          <w:szCs w:val="24"/>
          <w:highlight w:val="none"/>
        </w:rPr>
      </w:pPr>
    </w:p>
    <w:p w14:paraId="79CA8437">
      <w:pPr>
        <w:rPr>
          <w:color w:val="auto"/>
          <w:highlight w:val="none"/>
        </w:rPr>
      </w:pPr>
    </w:p>
    <w:p w14:paraId="41DF2F8B">
      <w:pPr>
        <w:pStyle w:val="3"/>
        <w:suppressLineNumbers/>
        <w:spacing w:before="156" w:beforeLines="50" w:after="156" w:afterLines="50" w:line="560" w:lineRule="exact"/>
        <w:rPr>
          <w:rFonts w:ascii="Times New Roman" w:hAnsi="Times New Roman" w:eastAsia="宋体"/>
          <w:b w:val="0"/>
          <w:bCs w:val="0"/>
          <w:color w:val="auto"/>
          <w:sz w:val="21"/>
          <w:szCs w:val="24"/>
          <w:highlight w:val="none"/>
        </w:rPr>
      </w:pPr>
    </w:p>
    <w:p w14:paraId="0AFA0148">
      <w:pPr>
        <w:rPr>
          <w:color w:val="auto"/>
          <w:highlight w:val="none"/>
        </w:rPr>
      </w:pPr>
    </w:p>
    <w:p w14:paraId="0EA44E4A">
      <w:pPr>
        <w:rPr>
          <w:rFonts w:ascii="宋体" w:hAnsi="宋体" w:cs="宋体"/>
          <w:color w:val="auto"/>
          <w:sz w:val="24"/>
          <w:highlight w:val="none"/>
        </w:rPr>
      </w:pPr>
      <w:r>
        <w:rPr>
          <w:rFonts w:hint="eastAsia" w:ascii="宋体" w:hAnsi="宋体" w:cs="宋体"/>
          <w:color w:val="auto"/>
          <w:sz w:val="24"/>
          <w:highlight w:val="none"/>
        </w:rPr>
        <w:br w:type="page"/>
      </w:r>
    </w:p>
    <w:p w14:paraId="316E9D24">
      <w:pPr>
        <w:pStyle w:val="3"/>
        <w:spacing w:before="156" w:beforeLines="50" w:after="156" w:afterLines="50" w:line="560" w:lineRule="exact"/>
        <w:jc w:val="center"/>
        <w:rPr>
          <w:rFonts w:ascii="宋体" w:hAnsi="宋体" w:eastAsia="宋体" w:cs="宋体"/>
          <w:color w:val="auto"/>
          <w:sz w:val="24"/>
          <w:szCs w:val="24"/>
          <w:highlight w:val="none"/>
        </w:rPr>
      </w:pPr>
      <w:bookmarkStart w:id="65" w:name="_Toc27766"/>
      <w:r>
        <w:rPr>
          <w:rFonts w:hint="eastAsia" w:ascii="宋体" w:hAnsi="宋体" w:eastAsia="宋体" w:cs="宋体"/>
          <w:color w:val="auto"/>
          <w:sz w:val="24"/>
          <w:szCs w:val="24"/>
          <w:highlight w:val="none"/>
        </w:rPr>
        <w:t>六、</w:t>
      </w:r>
      <w:bookmarkEnd w:id="60"/>
      <w:bookmarkStart w:id="66" w:name="_Toc18671569"/>
      <w:r>
        <w:rPr>
          <w:rFonts w:hint="eastAsia" w:ascii="宋体" w:hAnsi="宋体" w:eastAsia="宋体" w:cs="宋体"/>
          <w:color w:val="auto"/>
          <w:sz w:val="24"/>
          <w:szCs w:val="24"/>
          <w:highlight w:val="none"/>
        </w:rPr>
        <w:t>服务要求响应情况表</w:t>
      </w:r>
      <w:bookmarkEnd w:id="65"/>
    </w:p>
    <w:p w14:paraId="7A6515A2">
      <w:pPr>
        <w:rPr>
          <w:rFonts w:asciiTheme="minorEastAsia" w:hAnsiTheme="minorEastAsia" w:eastAsiaTheme="minorEastAsia" w:cstheme="minorEastAsia"/>
          <w:color w:val="auto"/>
          <w:sz w:val="24"/>
          <w:highlight w:val="none"/>
        </w:rPr>
      </w:pPr>
    </w:p>
    <w:p w14:paraId="7EBBA3F7">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采购人名称：                  </w:t>
      </w:r>
    </w:p>
    <w:p w14:paraId="4F2DEAD8">
      <w:pPr>
        <w:widowControl/>
        <w:spacing w:line="560" w:lineRule="exact"/>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采购代理名称：                </w:t>
      </w:r>
    </w:p>
    <w:p w14:paraId="33BEC1BE">
      <w:pPr>
        <w:widowControl/>
        <w:spacing w:line="560" w:lineRule="exact"/>
        <w:ind w:firstLine="600" w:firstLineChars="25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经过认真研究</w:t>
      </w:r>
      <w:r>
        <w:rPr>
          <w:rFonts w:hint="eastAsia" w:asciiTheme="minorEastAsia" w:hAnsiTheme="minorEastAsia" w:eastAsiaTheme="minorEastAsia" w:cstheme="minorEastAsia"/>
          <w:color w:val="auto"/>
          <w:kern w:val="0"/>
          <w:sz w:val="24"/>
          <w:highlight w:val="none"/>
          <w:u w:val="single"/>
        </w:rPr>
        <w:t>（项目名称）（项目编号）</w:t>
      </w:r>
      <w:r>
        <w:rPr>
          <w:rFonts w:hint="eastAsia" w:asciiTheme="minorEastAsia" w:hAnsiTheme="minorEastAsia" w:eastAsiaTheme="minorEastAsia" w:cstheme="minorEastAsia"/>
          <w:color w:val="auto"/>
          <w:kern w:val="0"/>
          <w:sz w:val="24"/>
          <w:highlight w:val="none"/>
        </w:rPr>
        <w:t>单一来源文件要求，我方确认，</w:t>
      </w:r>
      <w:r>
        <w:rPr>
          <w:rFonts w:hint="eastAsia" w:asciiTheme="minorEastAsia" w:hAnsiTheme="minorEastAsia" w:eastAsiaTheme="minorEastAsia" w:cstheme="minorEastAsia"/>
          <w:b/>
          <w:color w:val="auto"/>
          <w:kern w:val="0"/>
          <w:sz w:val="24"/>
          <w:highlight w:val="none"/>
        </w:rPr>
        <w:t>除下列偏离表所列情况外，我方响应情况全部为“符合”</w:t>
      </w:r>
      <w:r>
        <w:rPr>
          <w:rFonts w:hint="eastAsia" w:asciiTheme="minorEastAsia" w:hAnsiTheme="minorEastAsia" w:eastAsiaTheme="minorEastAsia" w:cstheme="minorEastAsia"/>
          <w:color w:val="auto"/>
          <w:kern w:val="0"/>
          <w:sz w:val="24"/>
          <w:highlight w:val="none"/>
        </w:rPr>
        <w:t>。</w:t>
      </w:r>
    </w:p>
    <w:p w14:paraId="1A5890F7">
      <w:pPr>
        <w:widowControl/>
        <w:spacing w:line="600" w:lineRule="exact"/>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服务要求偏离表</w:t>
      </w:r>
    </w:p>
    <w:tbl>
      <w:tblPr>
        <w:tblStyle w:val="18"/>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5"/>
        <w:gridCol w:w="2836"/>
        <w:gridCol w:w="2757"/>
        <w:gridCol w:w="2214"/>
      </w:tblGrid>
      <w:tr w14:paraId="187F0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715" w:type="dxa"/>
            <w:tcBorders>
              <w:top w:val="single" w:color="auto" w:sz="4" w:space="0"/>
              <w:left w:val="single" w:color="auto" w:sz="4" w:space="0"/>
              <w:bottom w:val="single" w:color="auto" w:sz="4" w:space="0"/>
              <w:right w:val="single" w:color="auto" w:sz="4" w:space="0"/>
            </w:tcBorders>
            <w:vAlign w:val="center"/>
          </w:tcPr>
          <w:p w14:paraId="2EEC12C0">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836" w:type="dxa"/>
            <w:tcBorders>
              <w:top w:val="single" w:color="auto" w:sz="4" w:space="0"/>
              <w:left w:val="single" w:color="auto" w:sz="4" w:space="0"/>
              <w:bottom w:val="single" w:color="auto" w:sz="4" w:space="0"/>
              <w:right w:val="single" w:color="auto" w:sz="4" w:space="0"/>
            </w:tcBorders>
            <w:vAlign w:val="center"/>
          </w:tcPr>
          <w:p w14:paraId="1192CE61">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单一来源文件中要求</w:t>
            </w:r>
          </w:p>
        </w:tc>
        <w:tc>
          <w:tcPr>
            <w:tcW w:w="2757" w:type="dxa"/>
            <w:tcBorders>
              <w:top w:val="single" w:color="auto" w:sz="4" w:space="0"/>
              <w:left w:val="single" w:color="auto" w:sz="4" w:space="0"/>
              <w:bottom w:val="single" w:color="auto" w:sz="4" w:space="0"/>
              <w:right w:val="single" w:color="auto" w:sz="4" w:space="0"/>
            </w:tcBorders>
            <w:vAlign w:val="center"/>
          </w:tcPr>
          <w:p w14:paraId="24B8F6AE">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供应商的响应内容</w:t>
            </w:r>
          </w:p>
        </w:tc>
        <w:tc>
          <w:tcPr>
            <w:tcW w:w="2214" w:type="dxa"/>
            <w:tcBorders>
              <w:top w:val="single" w:color="auto" w:sz="4" w:space="0"/>
              <w:left w:val="single" w:color="auto" w:sz="4" w:space="0"/>
              <w:bottom w:val="single" w:color="auto" w:sz="4" w:space="0"/>
              <w:right w:val="single" w:color="auto" w:sz="4" w:space="0"/>
            </w:tcBorders>
            <w:vAlign w:val="center"/>
          </w:tcPr>
          <w:p w14:paraId="0B42BD98">
            <w:pPr>
              <w:widowControl/>
              <w:ind w:firstLine="361" w:firstLineChars="15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偏离及影响</w:t>
            </w:r>
          </w:p>
          <w:p w14:paraId="2C85C4B6">
            <w:pPr>
              <w:widowControl/>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（正偏离/负偏离）</w:t>
            </w:r>
          </w:p>
        </w:tc>
      </w:tr>
      <w:tr w14:paraId="54631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715" w:type="dxa"/>
            <w:tcBorders>
              <w:top w:val="single" w:color="auto" w:sz="4" w:space="0"/>
              <w:left w:val="single" w:color="auto" w:sz="4" w:space="0"/>
              <w:bottom w:val="single" w:color="auto" w:sz="4" w:space="0"/>
              <w:right w:val="single" w:color="auto" w:sz="4" w:space="0"/>
            </w:tcBorders>
            <w:vAlign w:val="center"/>
          </w:tcPr>
          <w:p w14:paraId="19958044">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836" w:type="dxa"/>
            <w:vAlign w:val="center"/>
          </w:tcPr>
          <w:p w14:paraId="04E918E1">
            <w:pPr>
              <w:widowControl/>
              <w:jc w:val="left"/>
              <w:rPr>
                <w:rFonts w:hint="default" w:asciiTheme="minorEastAsia" w:hAnsiTheme="minorEastAsia" w:eastAsiaTheme="minorEastAsia" w:cstheme="minorEastAsia"/>
                <w:color w:val="auto"/>
                <w:kern w:val="0"/>
                <w:sz w:val="24"/>
                <w:highlight w:val="none"/>
                <w:lang w:val="en-US" w:eastAsia="zh-CN"/>
              </w:rPr>
            </w:pPr>
          </w:p>
        </w:tc>
        <w:tc>
          <w:tcPr>
            <w:tcW w:w="2757" w:type="dxa"/>
            <w:vAlign w:val="center"/>
          </w:tcPr>
          <w:p w14:paraId="24622C7B">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04DBB28E">
            <w:pPr>
              <w:widowControl/>
              <w:jc w:val="left"/>
              <w:rPr>
                <w:rFonts w:asciiTheme="minorEastAsia" w:hAnsiTheme="minorEastAsia" w:eastAsiaTheme="minorEastAsia" w:cstheme="minorEastAsia"/>
                <w:color w:val="auto"/>
                <w:kern w:val="0"/>
                <w:sz w:val="24"/>
                <w:highlight w:val="none"/>
              </w:rPr>
            </w:pPr>
          </w:p>
        </w:tc>
      </w:tr>
      <w:tr w14:paraId="23A8E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715" w:type="dxa"/>
            <w:tcBorders>
              <w:top w:val="single" w:color="auto" w:sz="4" w:space="0"/>
              <w:left w:val="single" w:color="auto" w:sz="4" w:space="0"/>
              <w:bottom w:val="single" w:color="auto" w:sz="4" w:space="0"/>
              <w:right w:val="single" w:color="auto" w:sz="4" w:space="0"/>
            </w:tcBorders>
            <w:vAlign w:val="center"/>
          </w:tcPr>
          <w:p w14:paraId="1A245DD9">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836" w:type="dxa"/>
            <w:vAlign w:val="center"/>
          </w:tcPr>
          <w:p w14:paraId="79559B30">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7F41C325">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6DD1C8B0">
            <w:pPr>
              <w:widowControl/>
              <w:jc w:val="left"/>
              <w:rPr>
                <w:rFonts w:asciiTheme="minorEastAsia" w:hAnsiTheme="minorEastAsia" w:eastAsiaTheme="minorEastAsia" w:cstheme="minorEastAsia"/>
                <w:color w:val="auto"/>
                <w:kern w:val="0"/>
                <w:sz w:val="24"/>
                <w:highlight w:val="none"/>
              </w:rPr>
            </w:pPr>
          </w:p>
        </w:tc>
      </w:tr>
      <w:tr w14:paraId="2C65C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715" w:type="dxa"/>
            <w:tcBorders>
              <w:top w:val="single" w:color="auto" w:sz="4" w:space="0"/>
              <w:left w:val="single" w:color="auto" w:sz="4" w:space="0"/>
              <w:bottom w:val="single" w:color="auto" w:sz="4" w:space="0"/>
              <w:right w:val="single" w:color="auto" w:sz="4" w:space="0"/>
            </w:tcBorders>
            <w:vAlign w:val="center"/>
          </w:tcPr>
          <w:p w14:paraId="0C23E127">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836" w:type="dxa"/>
            <w:vAlign w:val="center"/>
          </w:tcPr>
          <w:p w14:paraId="2B340499">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2587E4BC">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6C488699">
            <w:pPr>
              <w:widowControl/>
              <w:jc w:val="left"/>
              <w:rPr>
                <w:rFonts w:asciiTheme="minorEastAsia" w:hAnsiTheme="minorEastAsia" w:eastAsiaTheme="minorEastAsia" w:cstheme="minorEastAsia"/>
                <w:color w:val="auto"/>
                <w:kern w:val="0"/>
                <w:sz w:val="24"/>
                <w:highlight w:val="none"/>
              </w:rPr>
            </w:pPr>
          </w:p>
        </w:tc>
      </w:tr>
      <w:tr w14:paraId="729EC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715" w:type="dxa"/>
            <w:tcBorders>
              <w:top w:val="single" w:color="auto" w:sz="4" w:space="0"/>
              <w:left w:val="single" w:color="auto" w:sz="4" w:space="0"/>
              <w:bottom w:val="single" w:color="auto" w:sz="4" w:space="0"/>
              <w:right w:val="single" w:color="auto" w:sz="4" w:space="0"/>
            </w:tcBorders>
            <w:vAlign w:val="center"/>
          </w:tcPr>
          <w:p w14:paraId="51921F4E">
            <w:pPr>
              <w:widowControl/>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836" w:type="dxa"/>
            <w:vAlign w:val="center"/>
          </w:tcPr>
          <w:p w14:paraId="24AB041C">
            <w:pPr>
              <w:widowControl/>
              <w:jc w:val="left"/>
              <w:rPr>
                <w:rFonts w:asciiTheme="minorEastAsia" w:hAnsiTheme="minorEastAsia" w:eastAsiaTheme="minorEastAsia" w:cstheme="minorEastAsia"/>
                <w:color w:val="auto"/>
                <w:kern w:val="0"/>
                <w:sz w:val="24"/>
                <w:highlight w:val="none"/>
              </w:rPr>
            </w:pPr>
          </w:p>
        </w:tc>
        <w:tc>
          <w:tcPr>
            <w:tcW w:w="2757" w:type="dxa"/>
            <w:vAlign w:val="center"/>
          </w:tcPr>
          <w:p w14:paraId="63EB89A7">
            <w:pPr>
              <w:widowControl/>
              <w:jc w:val="left"/>
              <w:rPr>
                <w:rFonts w:asciiTheme="minorEastAsia" w:hAnsiTheme="minorEastAsia" w:eastAsiaTheme="minorEastAsia" w:cstheme="minorEastAsia"/>
                <w:color w:val="auto"/>
                <w:kern w:val="0"/>
                <w:sz w:val="24"/>
                <w:highlight w:val="none"/>
              </w:rPr>
            </w:pPr>
          </w:p>
        </w:tc>
        <w:tc>
          <w:tcPr>
            <w:tcW w:w="2214" w:type="dxa"/>
            <w:vAlign w:val="center"/>
          </w:tcPr>
          <w:p w14:paraId="7FD4445B">
            <w:pPr>
              <w:widowControl/>
              <w:jc w:val="left"/>
              <w:rPr>
                <w:rFonts w:asciiTheme="minorEastAsia" w:hAnsiTheme="minorEastAsia" w:eastAsiaTheme="minorEastAsia" w:cstheme="minorEastAsia"/>
                <w:color w:val="auto"/>
                <w:kern w:val="0"/>
                <w:sz w:val="24"/>
                <w:highlight w:val="none"/>
              </w:rPr>
            </w:pPr>
          </w:p>
        </w:tc>
      </w:tr>
    </w:tbl>
    <w:p w14:paraId="753C7204">
      <w:pPr>
        <w:spacing w:line="360" w:lineRule="auto"/>
        <w:rPr>
          <w:rFonts w:asciiTheme="minorEastAsia" w:hAnsiTheme="minorEastAsia" w:eastAsiaTheme="minorEastAsia" w:cstheme="minorEastAsia"/>
          <w:b/>
          <w:bCs/>
          <w:color w:val="auto"/>
          <w:sz w:val="24"/>
          <w:highlight w:val="none"/>
        </w:rPr>
      </w:pPr>
    </w:p>
    <w:p w14:paraId="68B4E304">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供应商（公章）：</w:t>
      </w:r>
    </w:p>
    <w:p w14:paraId="26E0832B">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7D08288E">
      <w:pPr>
        <w:rPr>
          <w:rFonts w:asciiTheme="minorEastAsia" w:hAnsiTheme="minorEastAsia" w:eastAsiaTheme="minorEastAsia" w:cstheme="minorEastAsia"/>
          <w:color w:val="auto"/>
          <w:kern w:val="0"/>
          <w:sz w:val="24"/>
          <w:highlight w:val="none"/>
        </w:rPr>
      </w:pPr>
    </w:p>
    <w:p w14:paraId="415E9680">
      <w:pPr>
        <w:ind w:firstLine="5160" w:firstLineChars="2150"/>
        <w:rPr>
          <w:rFonts w:asciiTheme="minorEastAsia" w:hAnsiTheme="minorEastAsia" w:eastAsiaTheme="minorEastAsia" w:cstheme="minorEastAsia"/>
          <w:color w:val="auto"/>
          <w:kern w:val="0"/>
          <w:sz w:val="24"/>
          <w:highlight w:val="none"/>
        </w:rPr>
      </w:pPr>
    </w:p>
    <w:p w14:paraId="64DFD31E">
      <w:pPr>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注：</w:t>
      </w:r>
    </w:p>
    <w:p w14:paraId="678C9CCC">
      <w:pPr>
        <w:spacing w:line="44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服务要求偏离表中供应商的响应内容低于单一来源文件要求的，协商小组不寻求其他证明材料，直接判定该项要求为负偏离。</w:t>
      </w:r>
    </w:p>
    <w:p w14:paraId="56AB712E">
      <w:pPr>
        <w:pStyle w:val="3"/>
        <w:spacing w:before="156" w:beforeLines="50" w:after="156" w:afterLines="50" w:line="560" w:lineRule="exact"/>
        <w:jc w:val="center"/>
        <w:rPr>
          <w:rFonts w:ascii="宋体" w:hAnsi="宋体" w:cs="宋体"/>
          <w:color w:val="auto"/>
          <w:sz w:val="24"/>
          <w:highlight w:val="none"/>
        </w:rPr>
      </w:pPr>
      <w:r>
        <w:rPr>
          <w:rFonts w:hint="eastAsia" w:ascii="宋体" w:hAnsi="宋体" w:cs="宋体"/>
          <w:color w:val="auto"/>
          <w:sz w:val="24"/>
          <w:highlight w:val="none"/>
        </w:rPr>
        <w:br w:type="page"/>
      </w:r>
    </w:p>
    <w:bookmarkEnd w:id="61"/>
    <w:bookmarkEnd w:id="62"/>
    <w:bookmarkEnd w:id="66"/>
    <w:p w14:paraId="6D094A91">
      <w:pPr>
        <w:pStyle w:val="3"/>
        <w:spacing w:before="156" w:beforeLines="50" w:after="156" w:afterLines="50" w:line="560" w:lineRule="exact"/>
        <w:jc w:val="center"/>
        <w:rPr>
          <w:rFonts w:ascii="宋体" w:hAnsi="宋体" w:eastAsia="宋体" w:cs="宋体"/>
          <w:color w:val="auto"/>
          <w:sz w:val="24"/>
          <w:szCs w:val="24"/>
          <w:highlight w:val="none"/>
        </w:rPr>
      </w:pPr>
      <w:bookmarkStart w:id="67" w:name="_Toc29403"/>
      <w:bookmarkStart w:id="68" w:name="_Toc18671571"/>
      <w:r>
        <w:rPr>
          <w:rFonts w:hint="eastAsia" w:ascii="宋体" w:hAnsi="宋体" w:eastAsia="宋体" w:cs="宋体"/>
          <w:color w:val="auto"/>
          <w:sz w:val="24"/>
          <w:szCs w:val="24"/>
          <w:highlight w:val="none"/>
        </w:rPr>
        <w:t>七、方案</w:t>
      </w:r>
      <w:bookmarkEnd w:id="67"/>
      <w:bookmarkEnd w:id="68"/>
    </w:p>
    <w:p w14:paraId="2FAD6A81">
      <w:pPr>
        <w:spacing w:line="440" w:lineRule="exact"/>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（一）</w:t>
      </w:r>
      <w:r>
        <w:rPr>
          <w:rFonts w:hint="eastAsia" w:ascii="宋体" w:hAnsi="宋体" w:cs="宋体"/>
          <w:b/>
          <w:color w:val="auto"/>
          <w:sz w:val="24"/>
          <w:highlight w:val="none"/>
        </w:rPr>
        <w:t>服务方案</w:t>
      </w:r>
    </w:p>
    <w:p w14:paraId="2F8DD27C">
      <w:pPr>
        <w:spacing w:line="440" w:lineRule="exact"/>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（二）质量及售后服务等</w:t>
      </w:r>
    </w:p>
    <w:p w14:paraId="461D3672">
      <w:pPr>
        <w:spacing w:line="440" w:lineRule="exact"/>
        <w:ind w:firstLine="2706" w:firstLineChars="1123"/>
        <w:jc w:val="left"/>
        <w:rPr>
          <w:rFonts w:asciiTheme="minorEastAsia" w:hAnsiTheme="minorEastAsia" w:eastAsiaTheme="minorEastAsia" w:cstheme="minorEastAsia"/>
          <w:b/>
          <w:color w:val="auto"/>
          <w:sz w:val="24"/>
          <w:highlight w:val="none"/>
        </w:rPr>
      </w:pPr>
    </w:p>
    <w:p w14:paraId="65E3C6A0">
      <w:pPr>
        <w:rPr>
          <w:rFonts w:hAnsi="宋体" w:cs="宋体"/>
          <w:color w:val="auto"/>
          <w:sz w:val="24"/>
          <w:szCs w:val="32"/>
          <w:highlight w:val="none"/>
        </w:rPr>
      </w:pPr>
      <w:r>
        <w:rPr>
          <w:rFonts w:hint="eastAsia" w:asciiTheme="minorEastAsia" w:hAnsiTheme="minorEastAsia" w:eastAsiaTheme="minorEastAsia" w:cstheme="minorEastAsia"/>
          <w:color w:val="auto"/>
          <w:sz w:val="24"/>
          <w:highlight w:val="none"/>
        </w:rPr>
        <w:br w:type="page"/>
      </w:r>
    </w:p>
    <w:p w14:paraId="18E240DA">
      <w:pPr>
        <w:outlineLvl w:val="0"/>
        <w:rPr>
          <w:rStyle w:val="50"/>
          <w:rFonts w:hint="eastAsia" w:ascii="宋体" w:hAnsi="宋体" w:eastAsia="宋体" w:cs="宋体"/>
          <w:color w:val="auto"/>
          <w:sz w:val="24"/>
          <w:szCs w:val="24"/>
          <w:highlight w:val="none"/>
          <w:lang w:val="en-US" w:eastAsia="zh-CN"/>
        </w:rPr>
      </w:pPr>
      <w:bookmarkStart w:id="69" w:name="_Toc23139"/>
      <w:bookmarkStart w:id="70" w:name="_Toc25268"/>
      <w:bookmarkStart w:id="71" w:name="_Toc6536"/>
      <w:r>
        <w:rPr>
          <w:rStyle w:val="50"/>
          <w:rFonts w:hint="eastAsia" w:ascii="宋体" w:hAnsi="宋体" w:eastAsia="宋体" w:cs="宋体"/>
          <w:color w:val="auto"/>
          <w:sz w:val="24"/>
          <w:szCs w:val="24"/>
          <w:highlight w:val="none"/>
          <w:lang w:val="en-US" w:eastAsia="zh-CN"/>
        </w:rPr>
        <w:t>额外附件（无需编入响应文件）</w:t>
      </w:r>
      <w:bookmarkEnd w:id="69"/>
      <w:bookmarkEnd w:id="70"/>
      <w:bookmarkEnd w:id="71"/>
    </w:p>
    <w:p w14:paraId="43195FA0">
      <w:pPr>
        <w:spacing w:line="360" w:lineRule="auto"/>
        <w:jc w:val="center"/>
        <w:rPr>
          <w:rFonts w:hint="eastAsia" w:ascii="宋体" w:hAnsi="宋体" w:eastAsia="宋体" w:cs="宋体"/>
          <w:b/>
          <w:bCs w:val="0"/>
          <w:color w:val="auto"/>
          <w:sz w:val="24"/>
          <w:szCs w:val="24"/>
          <w:highlight w:val="none"/>
        </w:rPr>
      </w:pPr>
    </w:p>
    <w:p w14:paraId="5CF3C30B">
      <w:pPr>
        <w:spacing w:line="36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二轮</w:t>
      </w:r>
      <w:r>
        <w:rPr>
          <w:rFonts w:hint="eastAsia" w:ascii="宋体" w:hAnsi="宋体" w:eastAsia="宋体" w:cs="宋体"/>
          <w:b/>
          <w:bCs w:val="0"/>
          <w:color w:val="auto"/>
          <w:sz w:val="24"/>
          <w:szCs w:val="24"/>
          <w:highlight w:val="none"/>
        </w:rPr>
        <w:t>报价函</w:t>
      </w:r>
    </w:p>
    <w:p w14:paraId="64E2DA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致 ：</w:t>
      </w:r>
      <w:r>
        <w:rPr>
          <w:rFonts w:hint="eastAsia" w:ascii="宋体" w:hAnsi="宋体" w:eastAsia="宋体" w:cs="宋体"/>
          <w:bCs/>
          <w:color w:val="auto"/>
          <w:sz w:val="24"/>
          <w:szCs w:val="24"/>
          <w:highlight w:val="none"/>
          <w:u w:val="single"/>
        </w:rPr>
        <w:t>( 采购人</w:t>
      </w:r>
      <w:r>
        <w:rPr>
          <w:rFonts w:hint="eastAsia" w:ascii="宋体" w:hAnsi="宋体" w:eastAsia="宋体" w:cs="宋体"/>
          <w:bCs/>
          <w:color w:val="auto"/>
          <w:sz w:val="24"/>
          <w:szCs w:val="24"/>
          <w:highlight w:val="none"/>
          <w:u w:val="single"/>
          <w:lang w:val="en-US" w:eastAsia="zh-CN"/>
        </w:rPr>
        <w:t>名称</w:t>
      </w:r>
      <w:r>
        <w:rPr>
          <w:rFonts w:hint="eastAsia" w:ascii="宋体" w:hAnsi="宋体" w:eastAsia="宋体" w:cs="宋体"/>
          <w:bCs/>
          <w:color w:val="auto"/>
          <w:sz w:val="24"/>
          <w:szCs w:val="24"/>
          <w:highlight w:val="none"/>
          <w:u w:val="single"/>
        </w:rPr>
        <w:t xml:space="preserve"> )</w:t>
      </w:r>
    </w:p>
    <w:p w14:paraId="3463C4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1、我方愿在前一轮</w:t>
      </w:r>
      <w:r>
        <w:rPr>
          <w:rFonts w:hint="eastAsia" w:ascii="宋体" w:hAnsi="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（响应文件）报价的基础上再次让利，让利后响应报价为人民币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元。如果我方有幸成为成交单位，报价费用为所委托项目范围内全部工作，该费用不再调整。</w:t>
      </w:r>
    </w:p>
    <w:p w14:paraId="6FD436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2、其他部分与响应性文件内容一致。</w:t>
      </w:r>
    </w:p>
    <w:p w14:paraId="3DC4A78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p>
    <w:p w14:paraId="1421CED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供应商：（公章）</w:t>
      </w:r>
    </w:p>
    <w:p w14:paraId="50A72C5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法定代表人（或委托代理人）：（签字或盖章）       </w:t>
      </w:r>
    </w:p>
    <w:p w14:paraId="5C9C0D1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日期： 年  月  日 </w:t>
      </w:r>
    </w:p>
    <w:p w14:paraId="26D9B0BE">
      <w:pPr>
        <w:spacing w:line="360" w:lineRule="auto"/>
        <w:jc w:val="center"/>
        <w:rPr>
          <w:rFonts w:hint="eastAsia" w:ascii="宋体" w:hAnsi="宋体" w:eastAsia="宋体" w:cs="宋体"/>
          <w:bCs/>
          <w:color w:val="auto"/>
          <w:sz w:val="24"/>
          <w:szCs w:val="24"/>
          <w:highlight w:val="none"/>
        </w:rPr>
      </w:pPr>
    </w:p>
    <w:p w14:paraId="7D7AC9D9">
      <w:pPr>
        <w:spacing w:line="360" w:lineRule="auto"/>
        <w:jc w:val="center"/>
        <w:rPr>
          <w:rFonts w:hint="eastAsia" w:ascii="宋体" w:hAnsi="宋体" w:eastAsia="宋体" w:cs="宋体"/>
          <w:bCs/>
          <w:color w:val="auto"/>
          <w:sz w:val="24"/>
          <w:szCs w:val="24"/>
          <w:highlight w:val="none"/>
        </w:rPr>
      </w:pPr>
    </w:p>
    <w:p w14:paraId="7C716F17">
      <w:pPr>
        <w:spacing w:line="360" w:lineRule="auto"/>
        <w:jc w:val="both"/>
        <w:rPr>
          <w:rFonts w:hint="eastAsia" w:ascii="宋体" w:hAnsi="宋体" w:eastAsia="宋体" w:cs="宋体"/>
          <w:bCs/>
          <w:color w:val="auto"/>
          <w:sz w:val="24"/>
          <w:szCs w:val="24"/>
          <w:highlight w:val="none"/>
        </w:rPr>
      </w:pPr>
    </w:p>
    <w:p w14:paraId="27FA419C">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注：</w:t>
      </w:r>
    </w:p>
    <w:p w14:paraId="3112249C">
      <w:pPr>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最终报价单位为元，最多保留两位小数。</w:t>
      </w:r>
    </w:p>
    <w:p w14:paraId="33A7864D">
      <w:pPr>
        <w:spacing w:line="360" w:lineRule="auto"/>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（2）供应商二轮报价填报总价即可，二轮报价的工程量清单综合单价较一轮报价同比例调整。</w:t>
      </w:r>
    </w:p>
    <w:p w14:paraId="7C9958E6">
      <w:pPr>
        <w:spacing w:line="360" w:lineRule="auto"/>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（3）各供应商单独备足空白“二轮报价含函”并加盖单位公章及签字，用于二次报价时填写。</w:t>
      </w:r>
    </w:p>
    <w:p w14:paraId="17436D70">
      <w:pPr>
        <w:pStyle w:val="16"/>
        <w:rPr>
          <w:color w:val="auto"/>
          <w:highlight w:val="none"/>
        </w:rPr>
      </w:pPr>
    </w:p>
    <w:sectPr>
      <w:headerReference r:id="rId5" w:type="default"/>
      <w:footerReference r:id="rId6" w:type="default"/>
      <w:footerReference r:id="rId7" w:type="even"/>
      <w:pgSz w:w="11906" w:h="16838"/>
      <w:pgMar w:top="1440" w:right="1800" w:bottom="1440" w:left="1800" w:header="1134"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ABC933-0317-4BC8-BBCA-7FCEAFF887D0}"/>
  </w:font>
  <w:font w:name="黑体">
    <w:panose1 w:val="02010609060101010101"/>
    <w:charset w:val="86"/>
    <w:family w:val="auto"/>
    <w:pitch w:val="default"/>
    <w:sig w:usb0="800002BF" w:usb1="38CF7CFA" w:usb2="00000016" w:usb3="00000000" w:csb0="00040001" w:csb1="00000000"/>
    <w:embedRegular r:id="rId2" w:fontKey="{088556E6-491D-4CBC-8626-FECC3DBD40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DengXian ( 正文 )">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31B9BD19-714B-45F8-B2C6-C4399EDC79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E04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56D1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356D1C">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34D6A5D1">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52F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8E24F">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A8E24F">
                    <w:pPr>
                      <w:pStyle w:val="9"/>
                    </w:pPr>
                    <w:r>
                      <w:fldChar w:fldCharType="begin"/>
                    </w:r>
                    <w:r>
                      <w:instrText xml:space="preserve"> PAGE  \* MERGEFORMAT </w:instrText>
                    </w:r>
                    <w:r>
                      <w:fldChar w:fldCharType="separate"/>
                    </w:r>
                    <w:r>
                      <w:t>3</w:t>
                    </w:r>
                    <w:r>
                      <w:fldChar w:fldCharType="end"/>
                    </w:r>
                  </w:p>
                </w:txbxContent>
              </v:textbox>
            </v:shape>
          </w:pict>
        </mc:Fallback>
      </mc:AlternateContent>
    </w:r>
  </w:p>
  <w:p w14:paraId="78A118E8">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A41B">
    <w:pPr>
      <w:pStyle w:val="9"/>
      <w:pBdr>
        <w:top w:val="single" w:color="auto" w:sz="4" w:space="1"/>
      </w:pBdr>
      <w:ind w:right="360"/>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2BD4B">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42BD4B">
                    <w:pPr>
                      <w:pStyle w:val="9"/>
                    </w:pPr>
                    <w:r>
                      <w:fldChar w:fldCharType="begin"/>
                    </w:r>
                    <w:r>
                      <w:instrText xml:space="preserve"> PAGE  \* MERGEFORMAT </w:instrText>
                    </w:r>
                    <w:r>
                      <w:fldChar w:fldCharType="separate"/>
                    </w:r>
                    <w:r>
                      <w:t>18</w:t>
                    </w:r>
                    <w:r>
                      <w:fldChar w:fldCharType="end"/>
                    </w:r>
                  </w:p>
                </w:txbxContent>
              </v:textbox>
            </v:shape>
          </w:pict>
        </mc:Fallback>
      </mc:AlternateContent>
    </w:r>
  </w:p>
  <w:p w14:paraId="350AADF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F3EDF">
    <w:pPr>
      <w:pStyle w:val="9"/>
      <w:framePr w:wrap="around" w:vAnchor="text" w:hAnchor="margin" w:xAlign="right" w:y="1"/>
      <w:rPr>
        <w:rStyle w:val="22"/>
      </w:rPr>
    </w:pPr>
    <w:r>
      <w:fldChar w:fldCharType="begin"/>
    </w:r>
    <w:r>
      <w:rPr>
        <w:rStyle w:val="22"/>
      </w:rPr>
      <w:instrText xml:space="preserve">PAGE  </w:instrText>
    </w:r>
    <w:r>
      <w:fldChar w:fldCharType="end"/>
    </w:r>
  </w:p>
  <w:p w14:paraId="327EEBF6">
    <w:pPr>
      <w:pStyle w:val="9"/>
      <w:ind w:right="360"/>
    </w:pPr>
  </w:p>
  <w:p w14:paraId="6C883E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3F0B">
    <w:pPr>
      <w:pStyle w:val="10"/>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D19C2"/>
    <w:multiLevelType w:val="singleLevel"/>
    <w:tmpl w:val="85BD19C2"/>
    <w:lvl w:ilvl="0" w:tentative="0">
      <w:start w:val="1"/>
      <w:numFmt w:val="decimal"/>
      <w:suff w:val="nothing"/>
      <w:lvlText w:val="%1、"/>
      <w:lvlJc w:val="left"/>
    </w:lvl>
  </w:abstractNum>
  <w:abstractNum w:abstractNumId="1">
    <w:nsid w:val="9842C5A9"/>
    <w:multiLevelType w:val="singleLevel"/>
    <w:tmpl w:val="9842C5A9"/>
    <w:lvl w:ilvl="0" w:tentative="0">
      <w:start w:val="1"/>
      <w:numFmt w:val="decimal"/>
      <w:lvlText w:val="%1."/>
      <w:lvlJc w:val="left"/>
      <w:pPr>
        <w:ind w:left="425" w:hanging="425"/>
      </w:pPr>
      <w:rPr>
        <w:rFonts w:hint="default"/>
      </w:rPr>
    </w:lvl>
  </w:abstractNum>
  <w:abstractNum w:abstractNumId="2">
    <w:nsid w:val="C5B1AAF7"/>
    <w:multiLevelType w:val="singleLevel"/>
    <w:tmpl w:val="C5B1AAF7"/>
    <w:lvl w:ilvl="0" w:tentative="0">
      <w:start w:val="1"/>
      <w:numFmt w:val="decimal"/>
      <w:suff w:val="nothing"/>
      <w:lvlText w:val="%1、"/>
      <w:lvlJc w:val="left"/>
    </w:lvl>
  </w:abstractNum>
  <w:abstractNum w:abstractNumId="3">
    <w:nsid w:val="D3F8059E"/>
    <w:multiLevelType w:val="singleLevel"/>
    <w:tmpl w:val="D3F8059E"/>
    <w:lvl w:ilvl="0" w:tentative="0">
      <w:start w:val="1"/>
      <w:numFmt w:val="decimal"/>
      <w:suff w:val="nothing"/>
      <w:lvlText w:val="%1、"/>
      <w:lvlJc w:val="left"/>
    </w:lvl>
  </w:abstractNum>
  <w:abstractNum w:abstractNumId="4">
    <w:nsid w:val="5187CC9C"/>
    <w:multiLevelType w:val="singleLevel"/>
    <w:tmpl w:val="5187CC9C"/>
    <w:lvl w:ilvl="0" w:tentative="0">
      <w:start w:val="1"/>
      <w:numFmt w:val="decimal"/>
      <w:suff w:val="nothing"/>
      <w:lvlText w:val="%1、"/>
      <w:lvlJc w:val="left"/>
    </w:lvl>
  </w:abstractNum>
  <w:abstractNum w:abstractNumId="5">
    <w:nsid w:val="6FA602ED"/>
    <w:multiLevelType w:val="singleLevel"/>
    <w:tmpl w:val="6FA602ED"/>
    <w:lvl w:ilvl="0" w:tentative="0">
      <w:start w:val="1"/>
      <w:numFmt w:val="decimal"/>
      <w:suff w:val="nothing"/>
      <w:lvlText w:val="%1、"/>
      <w:lvlJc w:val="left"/>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jEzMzcxZDFhZGY0NmM5MDk4M2EzNzI4YTQwNjQifQ=="/>
  </w:docVars>
  <w:rsids>
    <w:rsidRoot w:val="6EC727D8"/>
    <w:rsid w:val="000008DC"/>
    <w:rsid w:val="00074755"/>
    <w:rsid w:val="000D5B86"/>
    <w:rsid w:val="000E1F6C"/>
    <w:rsid w:val="000F7491"/>
    <w:rsid w:val="00107F7A"/>
    <w:rsid w:val="00133528"/>
    <w:rsid w:val="001377B4"/>
    <w:rsid w:val="001531BC"/>
    <w:rsid w:val="001C7F21"/>
    <w:rsid w:val="001D0E19"/>
    <w:rsid w:val="00241BCE"/>
    <w:rsid w:val="002827D9"/>
    <w:rsid w:val="00310043"/>
    <w:rsid w:val="00325DD1"/>
    <w:rsid w:val="00330497"/>
    <w:rsid w:val="00337BD4"/>
    <w:rsid w:val="00360082"/>
    <w:rsid w:val="00370FA3"/>
    <w:rsid w:val="003D6EB2"/>
    <w:rsid w:val="003E7146"/>
    <w:rsid w:val="00481283"/>
    <w:rsid w:val="004C3D64"/>
    <w:rsid w:val="00502F86"/>
    <w:rsid w:val="00554AED"/>
    <w:rsid w:val="00573D8E"/>
    <w:rsid w:val="005B7F2A"/>
    <w:rsid w:val="005C36B3"/>
    <w:rsid w:val="005E629F"/>
    <w:rsid w:val="005F257E"/>
    <w:rsid w:val="005F31BF"/>
    <w:rsid w:val="0062612B"/>
    <w:rsid w:val="00643FFD"/>
    <w:rsid w:val="00664226"/>
    <w:rsid w:val="00664B49"/>
    <w:rsid w:val="006A1B74"/>
    <w:rsid w:val="00706B07"/>
    <w:rsid w:val="00737B01"/>
    <w:rsid w:val="00756192"/>
    <w:rsid w:val="007654C4"/>
    <w:rsid w:val="007679EB"/>
    <w:rsid w:val="00771506"/>
    <w:rsid w:val="007925A2"/>
    <w:rsid w:val="0079330D"/>
    <w:rsid w:val="007967C9"/>
    <w:rsid w:val="007B7190"/>
    <w:rsid w:val="007E4AEE"/>
    <w:rsid w:val="007F5FDC"/>
    <w:rsid w:val="008877ED"/>
    <w:rsid w:val="008B34A7"/>
    <w:rsid w:val="008E06AA"/>
    <w:rsid w:val="008E4B3E"/>
    <w:rsid w:val="008F5ACA"/>
    <w:rsid w:val="00910B63"/>
    <w:rsid w:val="00936ACC"/>
    <w:rsid w:val="0096212F"/>
    <w:rsid w:val="00997D30"/>
    <w:rsid w:val="009C15CF"/>
    <w:rsid w:val="009C2971"/>
    <w:rsid w:val="009D484D"/>
    <w:rsid w:val="00A0731A"/>
    <w:rsid w:val="00A40483"/>
    <w:rsid w:val="00A53F70"/>
    <w:rsid w:val="00A72BE0"/>
    <w:rsid w:val="00AB14BC"/>
    <w:rsid w:val="00AC096B"/>
    <w:rsid w:val="00AE137C"/>
    <w:rsid w:val="00AE30B0"/>
    <w:rsid w:val="00B0397C"/>
    <w:rsid w:val="00B11A1A"/>
    <w:rsid w:val="00B403CD"/>
    <w:rsid w:val="00B519D7"/>
    <w:rsid w:val="00B60525"/>
    <w:rsid w:val="00B75680"/>
    <w:rsid w:val="00B91F55"/>
    <w:rsid w:val="00B92E69"/>
    <w:rsid w:val="00B93C87"/>
    <w:rsid w:val="00BA0C8C"/>
    <w:rsid w:val="00BB413B"/>
    <w:rsid w:val="00BC12F0"/>
    <w:rsid w:val="00BC3B7F"/>
    <w:rsid w:val="00BD2778"/>
    <w:rsid w:val="00C11019"/>
    <w:rsid w:val="00C44682"/>
    <w:rsid w:val="00C73E3E"/>
    <w:rsid w:val="00C75E31"/>
    <w:rsid w:val="00C84172"/>
    <w:rsid w:val="00C905B8"/>
    <w:rsid w:val="00D009EA"/>
    <w:rsid w:val="00D40D69"/>
    <w:rsid w:val="00D45394"/>
    <w:rsid w:val="00D62FCB"/>
    <w:rsid w:val="00D64BD5"/>
    <w:rsid w:val="00D76247"/>
    <w:rsid w:val="00D90AFE"/>
    <w:rsid w:val="00D96E63"/>
    <w:rsid w:val="00DC661F"/>
    <w:rsid w:val="00DC6BD9"/>
    <w:rsid w:val="00DE4501"/>
    <w:rsid w:val="00E1437E"/>
    <w:rsid w:val="00E25D2A"/>
    <w:rsid w:val="00E37283"/>
    <w:rsid w:val="00E43CD1"/>
    <w:rsid w:val="00E815D1"/>
    <w:rsid w:val="00EC71D2"/>
    <w:rsid w:val="00ED4AA4"/>
    <w:rsid w:val="00EF7950"/>
    <w:rsid w:val="00F07E7E"/>
    <w:rsid w:val="00F24888"/>
    <w:rsid w:val="00F44726"/>
    <w:rsid w:val="00FA7A82"/>
    <w:rsid w:val="00FB3DFE"/>
    <w:rsid w:val="00FE651F"/>
    <w:rsid w:val="01284C10"/>
    <w:rsid w:val="01395070"/>
    <w:rsid w:val="014B08FF"/>
    <w:rsid w:val="0168325F"/>
    <w:rsid w:val="016C134C"/>
    <w:rsid w:val="018E53BB"/>
    <w:rsid w:val="01967DCC"/>
    <w:rsid w:val="019948FF"/>
    <w:rsid w:val="01A52705"/>
    <w:rsid w:val="01AA1AC9"/>
    <w:rsid w:val="01B36BD0"/>
    <w:rsid w:val="01D134FA"/>
    <w:rsid w:val="01DA23AF"/>
    <w:rsid w:val="01E62509"/>
    <w:rsid w:val="01F36FCC"/>
    <w:rsid w:val="02021905"/>
    <w:rsid w:val="02111B48"/>
    <w:rsid w:val="02313F99"/>
    <w:rsid w:val="024E68F9"/>
    <w:rsid w:val="025C7268"/>
    <w:rsid w:val="02702D13"/>
    <w:rsid w:val="02785724"/>
    <w:rsid w:val="027D2D3A"/>
    <w:rsid w:val="028265A2"/>
    <w:rsid w:val="0288500D"/>
    <w:rsid w:val="0297204E"/>
    <w:rsid w:val="029F0F02"/>
    <w:rsid w:val="029F74CA"/>
    <w:rsid w:val="02A23F5D"/>
    <w:rsid w:val="02BA5D3C"/>
    <w:rsid w:val="02D92666"/>
    <w:rsid w:val="02DF7AA4"/>
    <w:rsid w:val="02E86730"/>
    <w:rsid w:val="02E903CF"/>
    <w:rsid w:val="02F72AEC"/>
    <w:rsid w:val="030D41CD"/>
    <w:rsid w:val="03125B78"/>
    <w:rsid w:val="031B2C7F"/>
    <w:rsid w:val="03440AAD"/>
    <w:rsid w:val="03451AAA"/>
    <w:rsid w:val="03522419"/>
    <w:rsid w:val="0365214C"/>
    <w:rsid w:val="03667C72"/>
    <w:rsid w:val="03697A90"/>
    <w:rsid w:val="038F0F77"/>
    <w:rsid w:val="0397744C"/>
    <w:rsid w:val="03AC7D7B"/>
    <w:rsid w:val="03AF33C7"/>
    <w:rsid w:val="03B20153"/>
    <w:rsid w:val="03C52BEB"/>
    <w:rsid w:val="03EA08A3"/>
    <w:rsid w:val="040A4AA1"/>
    <w:rsid w:val="040B2A74"/>
    <w:rsid w:val="042C2C6A"/>
    <w:rsid w:val="04473600"/>
    <w:rsid w:val="044955CA"/>
    <w:rsid w:val="045F6B9B"/>
    <w:rsid w:val="0461636B"/>
    <w:rsid w:val="046A2717"/>
    <w:rsid w:val="04784101"/>
    <w:rsid w:val="047D34C5"/>
    <w:rsid w:val="047F723D"/>
    <w:rsid w:val="04826D2E"/>
    <w:rsid w:val="04874344"/>
    <w:rsid w:val="048900BC"/>
    <w:rsid w:val="04891E6A"/>
    <w:rsid w:val="048B7990"/>
    <w:rsid w:val="049251C3"/>
    <w:rsid w:val="04A10F62"/>
    <w:rsid w:val="04A4420B"/>
    <w:rsid w:val="04A96068"/>
    <w:rsid w:val="04E11CA6"/>
    <w:rsid w:val="04FB16CE"/>
    <w:rsid w:val="05184F9C"/>
    <w:rsid w:val="0564343C"/>
    <w:rsid w:val="058D4B01"/>
    <w:rsid w:val="05A52CD4"/>
    <w:rsid w:val="05C50C80"/>
    <w:rsid w:val="05CF2FDE"/>
    <w:rsid w:val="05DE7F94"/>
    <w:rsid w:val="05E25CD6"/>
    <w:rsid w:val="05EA6938"/>
    <w:rsid w:val="060E0879"/>
    <w:rsid w:val="061340E1"/>
    <w:rsid w:val="06163BD1"/>
    <w:rsid w:val="0624009C"/>
    <w:rsid w:val="062C6F51"/>
    <w:rsid w:val="06316315"/>
    <w:rsid w:val="064047AA"/>
    <w:rsid w:val="067526A6"/>
    <w:rsid w:val="067D77AC"/>
    <w:rsid w:val="067F1777"/>
    <w:rsid w:val="069B7C33"/>
    <w:rsid w:val="06A765D7"/>
    <w:rsid w:val="06B342AD"/>
    <w:rsid w:val="06C947A0"/>
    <w:rsid w:val="06D51397"/>
    <w:rsid w:val="06E15F8D"/>
    <w:rsid w:val="06EE4206"/>
    <w:rsid w:val="07397B77"/>
    <w:rsid w:val="07477E74"/>
    <w:rsid w:val="07937C68"/>
    <w:rsid w:val="07990616"/>
    <w:rsid w:val="07A20778"/>
    <w:rsid w:val="07B733C4"/>
    <w:rsid w:val="07C5765D"/>
    <w:rsid w:val="07ED349A"/>
    <w:rsid w:val="08092B10"/>
    <w:rsid w:val="085602B5"/>
    <w:rsid w:val="086329D2"/>
    <w:rsid w:val="087E15BA"/>
    <w:rsid w:val="0888779C"/>
    <w:rsid w:val="08A40A20"/>
    <w:rsid w:val="08B80F70"/>
    <w:rsid w:val="08CE2E53"/>
    <w:rsid w:val="08D12A6B"/>
    <w:rsid w:val="08D51B22"/>
    <w:rsid w:val="08D538D0"/>
    <w:rsid w:val="08F024B8"/>
    <w:rsid w:val="08F655F4"/>
    <w:rsid w:val="09122521"/>
    <w:rsid w:val="091A3FB8"/>
    <w:rsid w:val="093C56FD"/>
    <w:rsid w:val="09541963"/>
    <w:rsid w:val="09732A37"/>
    <w:rsid w:val="097C116F"/>
    <w:rsid w:val="09971291"/>
    <w:rsid w:val="09A21F4E"/>
    <w:rsid w:val="09AC2C7C"/>
    <w:rsid w:val="09D15427"/>
    <w:rsid w:val="09D9119E"/>
    <w:rsid w:val="09D92E75"/>
    <w:rsid w:val="0A075837"/>
    <w:rsid w:val="0A08006A"/>
    <w:rsid w:val="0A210AF1"/>
    <w:rsid w:val="0A280703"/>
    <w:rsid w:val="0A2D5046"/>
    <w:rsid w:val="0A3D797F"/>
    <w:rsid w:val="0A4834A5"/>
    <w:rsid w:val="0A495578"/>
    <w:rsid w:val="0A4C5E14"/>
    <w:rsid w:val="0A5C3C67"/>
    <w:rsid w:val="0A726EFC"/>
    <w:rsid w:val="0A8F3F52"/>
    <w:rsid w:val="0A95202C"/>
    <w:rsid w:val="0A9607F5"/>
    <w:rsid w:val="0AAA48E8"/>
    <w:rsid w:val="0AAB0D8C"/>
    <w:rsid w:val="0AB1595C"/>
    <w:rsid w:val="0AB67731"/>
    <w:rsid w:val="0AC41E4E"/>
    <w:rsid w:val="0AD55E09"/>
    <w:rsid w:val="0AEE0C79"/>
    <w:rsid w:val="0B0C55A3"/>
    <w:rsid w:val="0B0D1F83"/>
    <w:rsid w:val="0B1C059C"/>
    <w:rsid w:val="0B270E55"/>
    <w:rsid w:val="0B344594"/>
    <w:rsid w:val="0B3F32C0"/>
    <w:rsid w:val="0B402762"/>
    <w:rsid w:val="0B4E1717"/>
    <w:rsid w:val="0B73117E"/>
    <w:rsid w:val="0B8769D7"/>
    <w:rsid w:val="0B9730BE"/>
    <w:rsid w:val="0BC1013B"/>
    <w:rsid w:val="0BCB2A5E"/>
    <w:rsid w:val="0BCF2F63"/>
    <w:rsid w:val="0BD32EFE"/>
    <w:rsid w:val="0BDA2FAB"/>
    <w:rsid w:val="0C3C77C2"/>
    <w:rsid w:val="0C43404D"/>
    <w:rsid w:val="0C450D6C"/>
    <w:rsid w:val="0C985340"/>
    <w:rsid w:val="0CA248BC"/>
    <w:rsid w:val="0CA75589"/>
    <w:rsid w:val="0CAF61E6"/>
    <w:rsid w:val="0CC9374C"/>
    <w:rsid w:val="0CCD48BE"/>
    <w:rsid w:val="0CDB31C5"/>
    <w:rsid w:val="0CDB522D"/>
    <w:rsid w:val="0CE75980"/>
    <w:rsid w:val="0CF462EF"/>
    <w:rsid w:val="0CF92A3E"/>
    <w:rsid w:val="0D0C53E6"/>
    <w:rsid w:val="0D1843F4"/>
    <w:rsid w:val="0D200E92"/>
    <w:rsid w:val="0D336E17"/>
    <w:rsid w:val="0D3A01A5"/>
    <w:rsid w:val="0D3F3A0E"/>
    <w:rsid w:val="0D592054"/>
    <w:rsid w:val="0D5A43A4"/>
    <w:rsid w:val="0D614AED"/>
    <w:rsid w:val="0D646FD0"/>
    <w:rsid w:val="0D851A87"/>
    <w:rsid w:val="0D925950"/>
    <w:rsid w:val="0DB735A4"/>
    <w:rsid w:val="0DC12675"/>
    <w:rsid w:val="0DD51251"/>
    <w:rsid w:val="0DED2C29"/>
    <w:rsid w:val="0DF071A5"/>
    <w:rsid w:val="0E0662D9"/>
    <w:rsid w:val="0E407A3D"/>
    <w:rsid w:val="0E4B725D"/>
    <w:rsid w:val="0E6C0832"/>
    <w:rsid w:val="0E7019A5"/>
    <w:rsid w:val="0E811E04"/>
    <w:rsid w:val="0E960DA4"/>
    <w:rsid w:val="0E990EFC"/>
    <w:rsid w:val="0EA04BD9"/>
    <w:rsid w:val="0EBE4E06"/>
    <w:rsid w:val="0EC35F79"/>
    <w:rsid w:val="0EE91E83"/>
    <w:rsid w:val="0EEF6D6E"/>
    <w:rsid w:val="0EF56A7A"/>
    <w:rsid w:val="0EFE5203"/>
    <w:rsid w:val="0F00663B"/>
    <w:rsid w:val="0F024CF3"/>
    <w:rsid w:val="0F0C791F"/>
    <w:rsid w:val="0F1A4EA2"/>
    <w:rsid w:val="0F323C80"/>
    <w:rsid w:val="0F386966"/>
    <w:rsid w:val="0F470958"/>
    <w:rsid w:val="0F6B0AEA"/>
    <w:rsid w:val="0F707EAE"/>
    <w:rsid w:val="0F957915"/>
    <w:rsid w:val="0FAC2EB1"/>
    <w:rsid w:val="0FB26719"/>
    <w:rsid w:val="0FB3426A"/>
    <w:rsid w:val="0FBD50BE"/>
    <w:rsid w:val="0FC05C73"/>
    <w:rsid w:val="0FE4264A"/>
    <w:rsid w:val="10044A9B"/>
    <w:rsid w:val="1008681F"/>
    <w:rsid w:val="10260EB5"/>
    <w:rsid w:val="104024BB"/>
    <w:rsid w:val="106F280D"/>
    <w:rsid w:val="107E158A"/>
    <w:rsid w:val="108B0D18"/>
    <w:rsid w:val="10BE10ED"/>
    <w:rsid w:val="10C36704"/>
    <w:rsid w:val="10CD1330"/>
    <w:rsid w:val="10D161C4"/>
    <w:rsid w:val="10D4446D"/>
    <w:rsid w:val="10DB57FB"/>
    <w:rsid w:val="10F44B0F"/>
    <w:rsid w:val="114B56D0"/>
    <w:rsid w:val="116003F7"/>
    <w:rsid w:val="11665A0D"/>
    <w:rsid w:val="11755C50"/>
    <w:rsid w:val="11847C41"/>
    <w:rsid w:val="118F65E6"/>
    <w:rsid w:val="11A1491C"/>
    <w:rsid w:val="11B5111E"/>
    <w:rsid w:val="11C40985"/>
    <w:rsid w:val="11C72224"/>
    <w:rsid w:val="11D02E86"/>
    <w:rsid w:val="11DF756D"/>
    <w:rsid w:val="11F748B7"/>
    <w:rsid w:val="11FA6155"/>
    <w:rsid w:val="12260CF8"/>
    <w:rsid w:val="1235718D"/>
    <w:rsid w:val="12535865"/>
    <w:rsid w:val="12647A72"/>
    <w:rsid w:val="126857B5"/>
    <w:rsid w:val="12751C80"/>
    <w:rsid w:val="1288550F"/>
    <w:rsid w:val="128C7765"/>
    <w:rsid w:val="129F0AAB"/>
    <w:rsid w:val="12A2123C"/>
    <w:rsid w:val="12B24C82"/>
    <w:rsid w:val="12C16C73"/>
    <w:rsid w:val="12CD5618"/>
    <w:rsid w:val="12DB2E87"/>
    <w:rsid w:val="13023513"/>
    <w:rsid w:val="131775E8"/>
    <w:rsid w:val="13294F44"/>
    <w:rsid w:val="1334693B"/>
    <w:rsid w:val="13421B62"/>
    <w:rsid w:val="13541895"/>
    <w:rsid w:val="135B124E"/>
    <w:rsid w:val="13623155"/>
    <w:rsid w:val="13771000"/>
    <w:rsid w:val="13897791"/>
    <w:rsid w:val="13936861"/>
    <w:rsid w:val="13B3480E"/>
    <w:rsid w:val="13D22765"/>
    <w:rsid w:val="13D36C5E"/>
    <w:rsid w:val="13E04764"/>
    <w:rsid w:val="13F07810"/>
    <w:rsid w:val="141F1A80"/>
    <w:rsid w:val="14276FAA"/>
    <w:rsid w:val="142E6509"/>
    <w:rsid w:val="143454D8"/>
    <w:rsid w:val="143811B7"/>
    <w:rsid w:val="14537D9F"/>
    <w:rsid w:val="145558C5"/>
    <w:rsid w:val="145A737F"/>
    <w:rsid w:val="147321EF"/>
    <w:rsid w:val="14812B5E"/>
    <w:rsid w:val="14891A12"/>
    <w:rsid w:val="148E0DD7"/>
    <w:rsid w:val="14902DA1"/>
    <w:rsid w:val="14926B19"/>
    <w:rsid w:val="14956609"/>
    <w:rsid w:val="14D62EA9"/>
    <w:rsid w:val="14D727D0"/>
    <w:rsid w:val="14D7452C"/>
    <w:rsid w:val="150D1F93"/>
    <w:rsid w:val="15273705"/>
    <w:rsid w:val="1534197E"/>
    <w:rsid w:val="15521101"/>
    <w:rsid w:val="156F29B6"/>
    <w:rsid w:val="15712BD2"/>
    <w:rsid w:val="15714980"/>
    <w:rsid w:val="1574621E"/>
    <w:rsid w:val="15C14ABA"/>
    <w:rsid w:val="15D867AD"/>
    <w:rsid w:val="15EE4223"/>
    <w:rsid w:val="15F7693B"/>
    <w:rsid w:val="15FB249C"/>
    <w:rsid w:val="161517B0"/>
    <w:rsid w:val="161A5018"/>
    <w:rsid w:val="161C0D90"/>
    <w:rsid w:val="161E0F3C"/>
    <w:rsid w:val="161E145D"/>
    <w:rsid w:val="163A2FC4"/>
    <w:rsid w:val="163C4F8E"/>
    <w:rsid w:val="16436D08"/>
    <w:rsid w:val="16450281"/>
    <w:rsid w:val="164976AB"/>
    <w:rsid w:val="164B6F7F"/>
    <w:rsid w:val="165A18B8"/>
    <w:rsid w:val="16691AFB"/>
    <w:rsid w:val="167364D6"/>
    <w:rsid w:val="16783AEC"/>
    <w:rsid w:val="167A7865"/>
    <w:rsid w:val="168626AD"/>
    <w:rsid w:val="16871B76"/>
    <w:rsid w:val="16881F81"/>
    <w:rsid w:val="16923636"/>
    <w:rsid w:val="16BD4EA7"/>
    <w:rsid w:val="16BE1E47"/>
    <w:rsid w:val="16D36F75"/>
    <w:rsid w:val="16E16F3A"/>
    <w:rsid w:val="16E41182"/>
    <w:rsid w:val="16F45869"/>
    <w:rsid w:val="170B670F"/>
    <w:rsid w:val="17283764"/>
    <w:rsid w:val="17377504"/>
    <w:rsid w:val="173C4B1A"/>
    <w:rsid w:val="175D340E"/>
    <w:rsid w:val="175E0F34"/>
    <w:rsid w:val="175E6B6A"/>
    <w:rsid w:val="1768590F"/>
    <w:rsid w:val="176A436F"/>
    <w:rsid w:val="177249E0"/>
    <w:rsid w:val="17793FC0"/>
    <w:rsid w:val="178A7F7B"/>
    <w:rsid w:val="17936E30"/>
    <w:rsid w:val="17B07BF3"/>
    <w:rsid w:val="17B40B54"/>
    <w:rsid w:val="17C678CB"/>
    <w:rsid w:val="17D36241"/>
    <w:rsid w:val="17EB6C6C"/>
    <w:rsid w:val="17EC4792"/>
    <w:rsid w:val="181635BD"/>
    <w:rsid w:val="18291542"/>
    <w:rsid w:val="18365A0D"/>
    <w:rsid w:val="18381785"/>
    <w:rsid w:val="18420856"/>
    <w:rsid w:val="18534811"/>
    <w:rsid w:val="187A1D9E"/>
    <w:rsid w:val="187D53EA"/>
    <w:rsid w:val="188B3FAB"/>
    <w:rsid w:val="18A40BC9"/>
    <w:rsid w:val="18AC1CDC"/>
    <w:rsid w:val="18B76B4E"/>
    <w:rsid w:val="18BD045D"/>
    <w:rsid w:val="18DC0363"/>
    <w:rsid w:val="18E11E1D"/>
    <w:rsid w:val="18FB6DC4"/>
    <w:rsid w:val="18FD1A72"/>
    <w:rsid w:val="18FF22A3"/>
    <w:rsid w:val="19137AFC"/>
    <w:rsid w:val="192F4936"/>
    <w:rsid w:val="193E726F"/>
    <w:rsid w:val="194859F8"/>
    <w:rsid w:val="19792055"/>
    <w:rsid w:val="19AF1F1B"/>
    <w:rsid w:val="19CA465F"/>
    <w:rsid w:val="19D379B8"/>
    <w:rsid w:val="19D83220"/>
    <w:rsid w:val="19E26AD1"/>
    <w:rsid w:val="19FD4A34"/>
    <w:rsid w:val="1A07140F"/>
    <w:rsid w:val="1A0A7151"/>
    <w:rsid w:val="1A136006"/>
    <w:rsid w:val="1A2F1DF7"/>
    <w:rsid w:val="1A381F10"/>
    <w:rsid w:val="1A437ED6"/>
    <w:rsid w:val="1A473F02"/>
    <w:rsid w:val="1A584361"/>
    <w:rsid w:val="1A69031C"/>
    <w:rsid w:val="1A7A361D"/>
    <w:rsid w:val="1A82318C"/>
    <w:rsid w:val="1AB01AA7"/>
    <w:rsid w:val="1ACB068F"/>
    <w:rsid w:val="1ADA4D76"/>
    <w:rsid w:val="1AE23C2A"/>
    <w:rsid w:val="1AED4AA9"/>
    <w:rsid w:val="1AF75EF5"/>
    <w:rsid w:val="1B0B5973"/>
    <w:rsid w:val="1B133E17"/>
    <w:rsid w:val="1B177D78"/>
    <w:rsid w:val="1B2A7AAB"/>
    <w:rsid w:val="1B3E5305"/>
    <w:rsid w:val="1B4D72F6"/>
    <w:rsid w:val="1B544B28"/>
    <w:rsid w:val="1B66161C"/>
    <w:rsid w:val="1B770817"/>
    <w:rsid w:val="1B8371BB"/>
    <w:rsid w:val="1B903686"/>
    <w:rsid w:val="1BA01BB2"/>
    <w:rsid w:val="1BB455C7"/>
    <w:rsid w:val="1BE0460E"/>
    <w:rsid w:val="1BF80FCF"/>
    <w:rsid w:val="1C1553FF"/>
    <w:rsid w:val="1C166281"/>
    <w:rsid w:val="1C283304"/>
    <w:rsid w:val="1C3B7A96"/>
    <w:rsid w:val="1C641230"/>
    <w:rsid w:val="1C676ADD"/>
    <w:rsid w:val="1C705992"/>
    <w:rsid w:val="1C9978FC"/>
    <w:rsid w:val="1C9F0025"/>
    <w:rsid w:val="1CA27B15"/>
    <w:rsid w:val="1CAB5C51"/>
    <w:rsid w:val="1CAC2742"/>
    <w:rsid w:val="1CAC3B3D"/>
    <w:rsid w:val="1CBA4E5F"/>
    <w:rsid w:val="1CCC06EE"/>
    <w:rsid w:val="1CED18DB"/>
    <w:rsid w:val="1CF06AD2"/>
    <w:rsid w:val="1CFE11EF"/>
    <w:rsid w:val="1D022362"/>
    <w:rsid w:val="1D036806"/>
    <w:rsid w:val="1D0866CB"/>
    <w:rsid w:val="1D09129C"/>
    <w:rsid w:val="1D1E3640"/>
    <w:rsid w:val="1D3159D0"/>
    <w:rsid w:val="1D3C1D18"/>
    <w:rsid w:val="1D3D339A"/>
    <w:rsid w:val="1D3F7112"/>
    <w:rsid w:val="1D5277E1"/>
    <w:rsid w:val="1D530C7D"/>
    <w:rsid w:val="1D632B53"/>
    <w:rsid w:val="1D644DCB"/>
    <w:rsid w:val="1D6D0123"/>
    <w:rsid w:val="1D6F3E9B"/>
    <w:rsid w:val="1DA72630"/>
    <w:rsid w:val="1DC615E1"/>
    <w:rsid w:val="1DC835AB"/>
    <w:rsid w:val="1DCD2970"/>
    <w:rsid w:val="1DDC7057"/>
    <w:rsid w:val="1DE2466D"/>
    <w:rsid w:val="1DE960B7"/>
    <w:rsid w:val="1DEF77E3"/>
    <w:rsid w:val="1DFB74DD"/>
    <w:rsid w:val="1E036466"/>
    <w:rsid w:val="1E110AAE"/>
    <w:rsid w:val="1E1E31CB"/>
    <w:rsid w:val="1E220F0E"/>
    <w:rsid w:val="1E25455A"/>
    <w:rsid w:val="1E3173A3"/>
    <w:rsid w:val="1E3D5D47"/>
    <w:rsid w:val="1E4D585F"/>
    <w:rsid w:val="1E562965"/>
    <w:rsid w:val="1E8821E9"/>
    <w:rsid w:val="1EA062D6"/>
    <w:rsid w:val="1EB458DE"/>
    <w:rsid w:val="1EC45B21"/>
    <w:rsid w:val="1EE2069D"/>
    <w:rsid w:val="1F046865"/>
    <w:rsid w:val="1F095C2A"/>
    <w:rsid w:val="1F396124"/>
    <w:rsid w:val="1F3A5DE3"/>
    <w:rsid w:val="1F5A0233"/>
    <w:rsid w:val="1F5A6485"/>
    <w:rsid w:val="1F5F074C"/>
    <w:rsid w:val="1F63358C"/>
    <w:rsid w:val="1F737547"/>
    <w:rsid w:val="1F95570F"/>
    <w:rsid w:val="1FD2426D"/>
    <w:rsid w:val="1FEB532F"/>
    <w:rsid w:val="2001472C"/>
    <w:rsid w:val="20014B53"/>
    <w:rsid w:val="20115428"/>
    <w:rsid w:val="20350899"/>
    <w:rsid w:val="203B19C0"/>
    <w:rsid w:val="20436F19"/>
    <w:rsid w:val="207B66B3"/>
    <w:rsid w:val="20803CC9"/>
    <w:rsid w:val="209B0B03"/>
    <w:rsid w:val="20A73065"/>
    <w:rsid w:val="20B16579"/>
    <w:rsid w:val="20BD316F"/>
    <w:rsid w:val="20C46ABB"/>
    <w:rsid w:val="20D504B9"/>
    <w:rsid w:val="20E06E5E"/>
    <w:rsid w:val="20FF5536"/>
    <w:rsid w:val="21020B82"/>
    <w:rsid w:val="21052AC9"/>
    <w:rsid w:val="210669F5"/>
    <w:rsid w:val="21182CA5"/>
    <w:rsid w:val="21224918"/>
    <w:rsid w:val="2126612C"/>
    <w:rsid w:val="2130749E"/>
    <w:rsid w:val="21366A7E"/>
    <w:rsid w:val="2139763B"/>
    <w:rsid w:val="214B166A"/>
    <w:rsid w:val="21553BAC"/>
    <w:rsid w:val="21690C01"/>
    <w:rsid w:val="2177331E"/>
    <w:rsid w:val="2197576F"/>
    <w:rsid w:val="2197751D"/>
    <w:rsid w:val="21983295"/>
    <w:rsid w:val="219C7306"/>
    <w:rsid w:val="219C7685"/>
    <w:rsid w:val="21A244F3"/>
    <w:rsid w:val="21A51C1A"/>
    <w:rsid w:val="21B6299C"/>
    <w:rsid w:val="21B87493"/>
    <w:rsid w:val="21BE0F4D"/>
    <w:rsid w:val="21D818E3"/>
    <w:rsid w:val="21E64000"/>
    <w:rsid w:val="21EB1616"/>
    <w:rsid w:val="221E7C3E"/>
    <w:rsid w:val="2237485C"/>
    <w:rsid w:val="223E3E3C"/>
    <w:rsid w:val="223F5AB8"/>
    <w:rsid w:val="224F429B"/>
    <w:rsid w:val="224F6049"/>
    <w:rsid w:val="22A16179"/>
    <w:rsid w:val="22B66D05"/>
    <w:rsid w:val="22BA5184"/>
    <w:rsid w:val="22F62969"/>
    <w:rsid w:val="22FD3CF7"/>
    <w:rsid w:val="23122DE5"/>
    <w:rsid w:val="231A178A"/>
    <w:rsid w:val="23393203"/>
    <w:rsid w:val="233D205C"/>
    <w:rsid w:val="234B73CC"/>
    <w:rsid w:val="2358717F"/>
    <w:rsid w:val="235F22BC"/>
    <w:rsid w:val="237613B4"/>
    <w:rsid w:val="23812232"/>
    <w:rsid w:val="239312F5"/>
    <w:rsid w:val="23980A4F"/>
    <w:rsid w:val="23A81EB5"/>
    <w:rsid w:val="23AD74CB"/>
    <w:rsid w:val="23C465C3"/>
    <w:rsid w:val="23CB5BA3"/>
    <w:rsid w:val="23FC5D5D"/>
    <w:rsid w:val="24044C11"/>
    <w:rsid w:val="240B41F2"/>
    <w:rsid w:val="24107A5A"/>
    <w:rsid w:val="24253506"/>
    <w:rsid w:val="24341EB9"/>
    <w:rsid w:val="24373239"/>
    <w:rsid w:val="24392B0D"/>
    <w:rsid w:val="244D65B8"/>
    <w:rsid w:val="245416F5"/>
    <w:rsid w:val="245B0CD5"/>
    <w:rsid w:val="245B7E1B"/>
    <w:rsid w:val="2480073C"/>
    <w:rsid w:val="24A32B10"/>
    <w:rsid w:val="24A501A2"/>
    <w:rsid w:val="24B44889"/>
    <w:rsid w:val="24B808B0"/>
    <w:rsid w:val="24DB5972"/>
    <w:rsid w:val="24F609FE"/>
    <w:rsid w:val="25021151"/>
    <w:rsid w:val="250274DC"/>
    <w:rsid w:val="250749B9"/>
    <w:rsid w:val="251009E1"/>
    <w:rsid w:val="251D41DD"/>
    <w:rsid w:val="25461985"/>
    <w:rsid w:val="255319AC"/>
    <w:rsid w:val="255816B9"/>
    <w:rsid w:val="25787665"/>
    <w:rsid w:val="25A22934"/>
    <w:rsid w:val="25A246E2"/>
    <w:rsid w:val="25A428FF"/>
    <w:rsid w:val="25C26B32"/>
    <w:rsid w:val="25CB1E8B"/>
    <w:rsid w:val="25CD5AD7"/>
    <w:rsid w:val="25D105C8"/>
    <w:rsid w:val="25E60A73"/>
    <w:rsid w:val="25F50CB6"/>
    <w:rsid w:val="25F56F08"/>
    <w:rsid w:val="2604634A"/>
    <w:rsid w:val="26062EC3"/>
    <w:rsid w:val="2609650F"/>
    <w:rsid w:val="260F621B"/>
    <w:rsid w:val="26211AAB"/>
    <w:rsid w:val="2633160E"/>
    <w:rsid w:val="264D6D44"/>
    <w:rsid w:val="26502390"/>
    <w:rsid w:val="265417DD"/>
    <w:rsid w:val="265C24B0"/>
    <w:rsid w:val="2685203A"/>
    <w:rsid w:val="2696426F"/>
    <w:rsid w:val="2697245B"/>
    <w:rsid w:val="26A024D9"/>
    <w:rsid w:val="26A338B2"/>
    <w:rsid w:val="26A64C5A"/>
    <w:rsid w:val="26A84A0A"/>
    <w:rsid w:val="26A85D28"/>
    <w:rsid w:val="26B172D2"/>
    <w:rsid w:val="26B50445"/>
    <w:rsid w:val="26B80661"/>
    <w:rsid w:val="26CD1546"/>
    <w:rsid w:val="26D11723"/>
    <w:rsid w:val="26E641FB"/>
    <w:rsid w:val="26EC030B"/>
    <w:rsid w:val="26ED5E31"/>
    <w:rsid w:val="26F176CF"/>
    <w:rsid w:val="26FB67A0"/>
    <w:rsid w:val="270D0281"/>
    <w:rsid w:val="27196C26"/>
    <w:rsid w:val="27221F7E"/>
    <w:rsid w:val="274517C9"/>
    <w:rsid w:val="274A6DDF"/>
    <w:rsid w:val="275807AF"/>
    <w:rsid w:val="2768712B"/>
    <w:rsid w:val="27871DE1"/>
    <w:rsid w:val="2790513A"/>
    <w:rsid w:val="27B90C4D"/>
    <w:rsid w:val="27CA2B44"/>
    <w:rsid w:val="28043B56"/>
    <w:rsid w:val="280B3CFB"/>
    <w:rsid w:val="280B656E"/>
    <w:rsid w:val="282633A8"/>
    <w:rsid w:val="28414686"/>
    <w:rsid w:val="285F4B0C"/>
    <w:rsid w:val="287265EE"/>
    <w:rsid w:val="28734E32"/>
    <w:rsid w:val="288051AE"/>
    <w:rsid w:val="288A7DDB"/>
    <w:rsid w:val="289C366A"/>
    <w:rsid w:val="28AF45D0"/>
    <w:rsid w:val="28B72697"/>
    <w:rsid w:val="28BB09C3"/>
    <w:rsid w:val="28CB1816"/>
    <w:rsid w:val="28D472A8"/>
    <w:rsid w:val="28DB23E5"/>
    <w:rsid w:val="28E13773"/>
    <w:rsid w:val="29226266"/>
    <w:rsid w:val="293D6BFB"/>
    <w:rsid w:val="294F2457"/>
    <w:rsid w:val="295B1778"/>
    <w:rsid w:val="29657F00"/>
    <w:rsid w:val="29665200"/>
    <w:rsid w:val="296672B1"/>
    <w:rsid w:val="297E7214"/>
    <w:rsid w:val="298365D8"/>
    <w:rsid w:val="29A273A6"/>
    <w:rsid w:val="29AF73CD"/>
    <w:rsid w:val="29D11A3A"/>
    <w:rsid w:val="29D357B2"/>
    <w:rsid w:val="29E67293"/>
    <w:rsid w:val="29FA0F90"/>
    <w:rsid w:val="2A046DA4"/>
    <w:rsid w:val="2A1F27A5"/>
    <w:rsid w:val="2A3E70CF"/>
    <w:rsid w:val="2A473AAA"/>
    <w:rsid w:val="2A5A558B"/>
    <w:rsid w:val="2A5E66E7"/>
    <w:rsid w:val="2A68414C"/>
    <w:rsid w:val="2A693A20"/>
    <w:rsid w:val="2A832D34"/>
    <w:rsid w:val="2A915A0E"/>
    <w:rsid w:val="2A9D36CA"/>
    <w:rsid w:val="2A9D3745"/>
    <w:rsid w:val="2AB23619"/>
    <w:rsid w:val="2AB2780B"/>
    <w:rsid w:val="2AB7478C"/>
    <w:rsid w:val="2ABC53FD"/>
    <w:rsid w:val="2ABE32E0"/>
    <w:rsid w:val="2ACD0453"/>
    <w:rsid w:val="2ACF41CB"/>
    <w:rsid w:val="2AEA0A59"/>
    <w:rsid w:val="2AFA4548"/>
    <w:rsid w:val="2B3E30FF"/>
    <w:rsid w:val="2B612949"/>
    <w:rsid w:val="2B7663F5"/>
    <w:rsid w:val="2B876854"/>
    <w:rsid w:val="2BB1633C"/>
    <w:rsid w:val="2BB313F7"/>
    <w:rsid w:val="2BBD2276"/>
    <w:rsid w:val="2BCF3D57"/>
    <w:rsid w:val="2BDD46C6"/>
    <w:rsid w:val="2BE5357A"/>
    <w:rsid w:val="2BE617CC"/>
    <w:rsid w:val="2C1125C1"/>
    <w:rsid w:val="2C210F6D"/>
    <w:rsid w:val="2C275941"/>
    <w:rsid w:val="2C4402A1"/>
    <w:rsid w:val="2C5F332D"/>
    <w:rsid w:val="2C7A3CC3"/>
    <w:rsid w:val="2C8763E0"/>
    <w:rsid w:val="2CA945A8"/>
    <w:rsid w:val="2CB73169"/>
    <w:rsid w:val="2CD258AD"/>
    <w:rsid w:val="2CD71115"/>
    <w:rsid w:val="2CE82102"/>
    <w:rsid w:val="2CEA709A"/>
    <w:rsid w:val="2D0A14EA"/>
    <w:rsid w:val="2D1660E1"/>
    <w:rsid w:val="2D1F486A"/>
    <w:rsid w:val="2D23435A"/>
    <w:rsid w:val="2D300825"/>
    <w:rsid w:val="2D4744ED"/>
    <w:rsid w:val="2D517119"/>
    <w:rsid w:val="2D5D3C4E"/>
    <w:rsid w:val="2D8E201B"/>
    <w:rsid w:val="2DA30746"/>
    <w:rsid w:val="2DB94CBF"/>
    <w:rsid w:val="2DC86CB0"/>
    <w:rsid w:val="2DE63220"/>
    <w:rsid w:val="2DEC6E42"/>
    <w:rsid w:val="2DF61A6F"/>
    <w:rsid w:val="2DFE0923"/>
    <w:rsid w:val="2E035D14"/>
    <w:rsid w:val="2E0A72C8"/>
    <w:rsid w:val="2E0E6A8A"/>
    <w:rsid w:val="2E1B7727"/>
    <w:rsid w:val="2E352597"/>
    <w:rsid w:val="2E4427DA"/>
    <w:rsid w:val="2E4647A4"/>
    <w:rsid w:val="2E50117F"/>
    <w:rsid w:val="2E786928"/>
    <w:rsid w:val="2E8A5B37"/>
    <w:rsid w:val="2E935510"/>
    <w:rsid w:val="2EE67D35"/>
    <w:rsid w:val="2EED4C20"/>
    <w:rsid w:val="2EFF2BA5"/>
    <w:rsid w:val="2F0506B8"/>
    <w:rsid w:val="2F0A3A24"/>
    <w:rsid w:val="2F0B779C"/>
    <w:rsid w:val="2F2B1BEC"/>
    <w:rsid w:val="2F34284F"/>
    <w:rsid w:val="2F432A92"/>
    <w:rsid w:val="2F4A4EE0"/>
    <w:rsid w:val="2F536455"/>
    <w:rsid w:val="2F5729E1"/>
    <w:rsid w:val="2F735CB0"/>
    <w:rsid w:val="2F927A56"/>
    <w:rsid w:val="2F930C2B"/>
    <w:rsid w:val="2FA07EE4"/>
    <w:rsid w:val="2FA63021"/>
    <w:rsid w:val="2FBC1EE1"/>
    <w:rsid w:val="2FD04090"/>
    <w:rsid w:val="2FD31515"/>
    <w:rsid w:val="2FEA2971"/>
    <w:rsid w:val="2FF124EE"/>
    <w:rsid w:val="2FFE4C0B"/>
    <w:rsid w:val="30403541"/>
    <w:rsid w:val="30534F57"/>
    <w:rsid w:val="305F38FB"/>
    <w:rsid w:val="306233EC"/>
    <w:rsid w:val="30631D01"/>
    <w:rsid w:val="308360CB"/>
    <w:rsid w:val="308A649E"/>
    <w:rsid w:val="30977539"/>
    <w:rsid w:val="30980BBB"/>
    <w:rsid w:val="30C52318"/>
    <w:rsid w:val="30C776F3"/>
    <w:rsid w:val="30CB7EF2"/>
    <w:rsid w:val="30CE542D"/>
    <w:rsid w:val="30E402A4"/>
    <w:rsid w:val="30E43E01"/>
    <w:rsid w:val="30EB518F"/>
    <w:rsid w:val="30F32296"/>
    <w:rsid w:val="31175D92"/>
    <w:rsid w:val="311A0B44"/>
    <w:rsid w:val="312A17C7"/>
    <w:rsid w:val="312C15FD"/>
    <w:rsid w:val="31413001"/>
    <w:rsid w:val="3152520E"/>
    <w:rsid w:val="315A40C3"/>
    <w:rsid w:val="31A16195"/>
    <w:rsid w:val="31B82C24"/>
    <w:rsid w:val="31BB1005"/>
    <w:rsid w:val="31CA1248"/>
    <w:rsid w:val="31D200FD"/>
    <w:rsid w:val="31D40319"/>
    <w:rsid w:val="31F42769"/>
    <w:rsid w:val="32116E77"/>
    <w:rsid w:val="322A618B"/>
    <w:rsid w:val="323A4620"/>
    <w:rsid w:val="323F6B41"/>
    <w:rsid w:val="3240150B"/>
    <w:rsid w:val="32546D64"/>
    <w:rsid w:val="328C6723"/>
    <w:rsid w:val="328F4CBF"/>
    <w:rsid w:val="32A47CEB"/>
    <w:rsid w:val="32B1065A"/>
    <w:rsid w:val="32EB3B6C"/>
    <w:rsid w:val="32F26CA9"/>
    <w:rsid w:val="33105381"/>
    <w:rsid w:val="33114C55"/>
    <w:rsid w:val="334D7931"/>
    <w:rsid w:val="335039CF"/>
    <w:rsid w:val="33727DEA"/>
    <w:rsid w:val="33760038"/>
    <w:rsid w:val="3390201E"/>
    <w:rsid w:val="33947D60"/>
    <w:rsid w:val="33AF6948"/>
    <w:rsid w:val="33BC1065"/>
    <w:rsid w:val="33C323F3"/>
    <w:rsid w:val="33C61EE3"/>
    <w:rsid w:val="33C65A3F"/>
    <w:rsid w:val="33CD760B"/>
    <w:rsid w:val="33D4015C"/>
    <w:rsid w:val="33DE547F"/>
    <w:rsid w:val="33F22CD8"/>
    <w:rsid w:val="34060532"/>
    <w:rsid w:val="34164C19"/>
    <w:rsid w:val="342015F4"/>
    <w:rsid w:val="34425A0E"/>
    <w:rsid w:val="344A1462"/>
    <w:rsid w:val="345E3ECA"/>
    <w:rsid w:val="348A2F11"/>
    <w:rsid w:val="34993154"/>
    <w:rsid w:val="349B511E"/>
    <w:rsid w:val="34A042EE"/>
    <w:rsid w:val="34C46423"/>
    <w:rsid w:val="35007112"/>
    <w:rsid w:val="351B1DBB"/>
    <w:rsid w:val="351F5D4F"/>
    <w:rsid w:val="35305866"/>
    <w:rsid w:val="353115DE"/>
    <w:rsid w:val="353C06AF"/>
    <w:rsid w:val="35651D20"/>
    <w:rsid w:val="3566572C"/>
    <w:rsid w:val="35702107"/>
    <w:rsid w:val="357B1FA8"/>
    <w:rsid w:val="358F4C83"/>
    <w:rsid w:val="35B446E9"/>
    <w:rsid w:val="35C81F43"/>
    <w:rsid w:val="35DF103A"/>
    <w:rsid w:val="35E02753"/>
    <w:rsid w:val="35FF348B"/>
    <w:rsid w:val="362178A5"/>
    <w:rsid w:val="36257395"/>
    <w:rsid w:val="3627310D"/>
    <w:rsid w:val="3636463B"/>
    <w:rsid w:val="363B44C3"/>
    <w:rsid w:val="364041CF"/>
    <w:rsid w:val="364A6DFC"/>
    <w:rsid w:val="364C2B74"/>
    <w:rsid w:val="364F7F6E"/>
    <w:rsid w:val="36592B9B"/>
    <w:rsid w:val="366652B8"/>
    <w:rsid w:val="367B0D63"/>
    <w:rsid w:val="36910587"/>
    <w:rsid w:val="36914A2B"/>
    <w:rsid w:val="369167D9"/>
    <w:rsid w:val="36A858D0"/>
    <w:rsid w:val="36A91D74"/>
    <w:rsid w:val="36AA789A"/>
    <w:rsid w:val="36AD2EE7"/>
    <w:rsid w:val="36E20DE2"/>
    <w:rsid w:val="36E7289C"/>
    <w:rsid w:val="37054AD1"/>
    <w:rsid w:val="3705678E"/>
    <w:rsid w:val="370F76FD"/>
    <w:rsid w:val="371511B8"/>
    <w:rsid w:val="37307DA0"/>
    <w:rsid w:val="373A29CC"/>
    <w:rsid w:val="37425D25"/>
    <w:rsid w:val="374260F0"/>
    <w:rsid w:val="37461371"/>
    <w:rsid w:val="376302F8"/>
    <w:rsid w:val="376D2DA2"/>
    <w:rsid w:val="37754C22"/>
    <w:rsid w:val="378123A9"/>
    <w:rsid w:val="378679C0"/>
    <w:rsid w:val="3787198A"/>
    <w:rsid w:val="378E2D18"/>
    <w:rsid w:val="37987968"/>
    <w:rsid w:val="37991DE9"/>
    <w:rsid w:val="37A2797E"/>
    <w:rsid w:val="37A46C12"/>
    <w:rsid w:val="37AE5168"/>
    <w:rsid w:val="37BA3B0D"/>
    <w:rsid w:val="37C130EE"/>
    <w:rsid w:val="37C52BDE"/>
    <w:rsid w:val="37C93D50"/>
    <w:rsid w:val="37D2523E"/>
    <w:rsid w:val="37E1109A"/>
    <w:rsid w:val="37E56DDC"/>
    <w:rsid w:val="3809239F"/>
    <w:rsid w:val="380D00E1"/>
    <w:rsid w:val="381274A5"/>
    <w:rsid w:val="38301749"/>
    <w:rsid w:val="38303DCF"/>
    <w:rsid w:val="38393E83"/>
    <w:rsid w:val="383E64EC"/>
    <w:rsid w:val="386A108F"/>
    <w:rsid w:val="38983E4E"/>
    <w:rsid w:val="38AD71CE"/>
    <w:rsid w:val="38B60778"/>
    <w:rsid w:val="38C06F01"/>
    <w:rsid w:val="38C67BD5"/>
    <w:rsid w:val="38D46734"/>
    <w:rsid w:val="39126EC4"/>
    <w:rsid w:val="39241B86"/>
    <w:rsid w:val="39382F3B"/>
    <w:rsid w:val="3949339B"/>
    <w:rsid w:val="3958538C"/>
    <w:rsid w:val="39616936"/>
    <w:rsid w:val="39763A64"/>
    <w:rsid w:val="39797168"/>
    <w:rsid w:val="39810D86"/>
    <w:rsid w:val="39C40C73"/>
    <w:rsid w:val="39CE641A"/>
    <w:rsid w:val="39D210D0"/>
    <w:rsid w:val="39D72754"/>
    <w:rsid w:val="39EA2D8B"/>
    <w:rsid w:val="39EC3D26"/>
    <w:rsid w:val="3A064DE8"/>
    <w:rsid w:val="3A0D6176"/>
    <w:rsid w:val="3A125E82"/>
    <w:rsid w:val="3A2B2AA0"/>
    <w:rsid w:val="3A2F07E2"/>
    <w:rsid w:val="3A305520"/>
    <w:rsid w:val="3A6A35C8"/>
    <w:rsid w:val="3A761B04"/>
    <w:rsid w:val="3A8328DC"/>
    <w:rsid w:val="3A836438"/>
    <w:rsid w:val="3A946897"/>
    <w:rsid w:val="3AAF722D"/>
    <w:rsid w:val="3AC802EF"/>
    <w:rsid w:val="3AE3337B"/>
    <w:rsid w:val="3AEF1D0C"/>
    <w:rsid w:val="3B0F5F1E"/>
    <w:rsid w:val="3B133C60"/>
    <w:rsid w:val="3B1479D8"/>
    <w:rsid w:val="3B194FEF"/>
    <w:rsid w:val="3B31058A"/>
    <w:rsid w:val="3B567FF1"/>
    <w:rsid w:val="3B820DE6"/>
    <w:rsid w:val="3B844B5E"/>
    <w:rsid w:val="3B9603ED"/>
    <w:rsid w:val="3BAB20EB"/>
    <w:rsid w:val="3BDF3B42"/>
    <w:rsid w:val="3BE15B0C"/>
    <w:rsid w:val="3BF375EE"/>
    <w:rsid w:val="3C371BD0"/>
    <w:rsid w:val="3C552056"/>
    <w:rsid w:val="3C616C4D"/>
    <w:rsid w:val="3C8C0310"/>
    <w:rsid w:val="3C921909"/>
    <w:rsid w:val="3C9E1C4F"/>
    <w:rsid w:val="3CA52FDE"/>
    <w:rsid w:val="3CA70BE4"/>
    <w:rsid w:val="3CAF1767"/>
    <w:rsid w:val="3CB7686D"/>
    <w:rsid w:val="3CC01BC6"/>
    <w:rsid w:val="3CC03974"/>
    <w:rsid w:val="3CED6733"/>
    <w:rsid w:val="3CF11D7F"/>
    <w:rsid w:val="3CFB2BFE"/>
    <w:rsid w:val="3D09356D"/>
    <w:rsid w:val="3D0E080C"/>
    <w:rsid w:val="3D197528"/>
    <w:rsid w:val="3D2959BD"/>
    <w:rsid w:val="3D4E5423"/>
    <w:rsid w:val="3D6F7148"/>
    <w:rsid w:val="3D8250CD"/>
    <w:rsid w:val="3D8B21D4"/>
    <w:rsid w:val="3D931088"/>
    <w:rsid w:val="3DA768E2"/>
    <w:rsid w:val="3DA96E02"/>
    <w:rsid w:val="3DBFFBF0"/>
    <w:rsid w:val="3DC454EF"/>
    <w:rsid w:val="3DCB6A74"/>
    <w:rsid w:val="3DCE3E6E"/>
    <w:rsid w:val="3DD27E02"/>
    <w:rsid w:val="3DE511B8"/>
    <w:rsid w:val="3DE6740A"/>
    <w:rsid w:val="3DF2454E"/>
    <w:rsid w:val="3E0F771B"/>
    <w:rsid w:val="3E140565"/>
    <w:rsid w:val="3E203BE4"/>
    <w:rsid w:val="3E377C66"/>
    <w:rsid w:val="3E5E3444"/>
    <w:rsid w:val="3E7C00E1"/>
    <w:rsid w:val="3E824A11"/>
    <w:rsid w:val="3E854E75"/>
    <w:rsid w:val="3E9277BD"/>
    <w:rsid w:val="3EA352FB"/>
    <w:rsid w:val="3ED05677"/>
    <w:rsid w:val="3EF63F99"/>
    <w:rsid w:val="3F0C10F2"/>
    <w:rsid w:val="3F163D1F"/>
    <w:rsid w:val="3F171845"/>
    <w:rsid w:val="3F375A43"/>
    <w:rsid w:val="3F577E93"/>
    <w:rsid w:val="3F634A8A"/>
    <w:rsid w:val="3F6727CC"/>
    <w:rsid w:val="3F6E3B5B"/>
    <w:rsid w:val="3F79605C"/>
    <w:rsid w:val="3F7B211F"/>
    <w:rsid w:val="3F7D436F"/>
    <w:rsid w:val="3F917849"/>
    <w:rsid w:val="3FA05CDE"/>
    <w:rsid w:val="3FA23805"/>
    <w:rsid w:val="3FA7706D"/>
    <w:rsid w:val="3FB5178A"/>
    <w:rsid w:val="3FC65745"/>
    <w:rsid w:val="402E5885"/>
    <w:rsid w:val="404843AC"/>
    <w:rsid w:val="4093139F"/>
    <w:rsid w:val="40AD06B3"/>
    <w:rsid w:val="40CD2B03"/>
    <w:rsid w:val="40E36EF3"/>
    <w:rsid w:val="40E901A0"/>
    <w:rsid w:val="410022C0"/>
    <w:rsid w:val="411B561D"/>
    <w:rsid w:val="411C75E7"/>
    <w:rsid w:val="412C5A7C"/>
    <w:rsid w:val="41494DE3"/>
    <w:rsid w:val="414A76CF"/>
    <w:rsid w:val="414C66FF"/>
    <w:rsid w:val="41652D3C"/>
    <w:rsid w:val="41682EF1"/>
    <w:rsid w:val="41685B7A"/>
    <w:rsid w:val="41792343"/>
    <w:rsid w:val="41CC2DBB"/>
    <w:rsid w:val="41D90C14"/>
    <w:rsid w:val="41EA4FEF"/>
    <w:rsid w:val="41F45E6E"/>
    <w:rsid w:val="420E40CE"/>
    <w:rsid w:val="42106E96"/>
    <w:rsid w:val="422624CB"/>
    <w:rsid w:val="4230334A"/>
    <w:rsid w:val="423D7815"/>
    <w:rsid w:val="423F17DF"/>
    <w:rsid w:val="42462B6D"/>
    <w:rsid w:val="42562684"/>
    <w:rsid w:val="42703746"/>
    <w:rsid w:val="42AF11ED"/>
    <w:rsid w:val="42B25F39"/>
    <w:rsid w:val="42BC2E2F"/>
    <w:rsid w:val="42D24401"/>
    <w:rsid w:val="42EA799C"/>
    <w:rsid w:val="42FE0D52"/>
    <w:rsid w:val="43252782"/>
    <w:rsid w:val="4328518F"/>
    <w:rsid w:val="4334739A"/>
    <w:rsid w:val="4340600B"/>
    <w:rsid w:val="4355293C"/>
    <w:rsid w:val="4356724C"/>
    <w:rsid w:val="43572B58"/>
    <w:rsid w:val="436D5ED7"/>
    <w:rsid w:val="43720088"/>
    <w:rsid w:val="43743CE6"/>
    <w:rsid w:val="43911BC6"/>
    <w:rsid w:val="439671DC"/>
    <w:rsid w:val="439711A6"/>
    <w:rsid w:val="43A044FF"/>
    <w:rsid w:val="43E91A02"/>
    <w:rsid w:val="43F108B7"/>
    <w:rsid w:val="44056110"/>
    <w:rsid w:val="44093E52"/>
    <w:rsid w:val="44352E99"/>
    <w:rsid w:val="444200F5"/>
    <w:rsid w:val="444529B0"/>
    <w:rsid w:val="445A46AE"/>
    <w:rsid w:val="446472DA"/>
    <w:rsid w:val="4466124E"/>
    <w:rsid w:val="446C618F"/>
    <w:rsid w:val="447119F7"/>
    <w:rsid w:val="4475773A"/>
    <w:rsid w:val="44B10046"/>
    <w:rsid w:val="44C77869"/>
    <w:rsid w:val="44EF6789"/>
    <w:rsid w:val="45054FDF"/>
    <w:rsid w:val="451C7BB5"/>
    <w:rsid w:val="451E1B7F"/>
    <w:rsid w:val="451F1453"/>
    <w:rsid w:val="452D3B70"/>
    <w:rsid w:val="452E1696"/>
    <w:rsid w:val="453E7B2C"/>
    <w:rsid w:val="45440EBA"/>
    <w:rsid w:val="45444586"/>
    <w:rsid w:val="45614516"/>
    <w:rsid w:val="456A6B72"/>
    <w:rsid w:val="457C5F26"/>
    <w:rsid w:val="45800144"/>
    <w:rsid w:val="458C3E37"/>
    <w:rsid w:val="45A7777B"/>
    <w:rsid w:val="45AF27D7"/>
    <w:rsid w:val="45B33B9B"/>
    <w:rsid w:val="45C02C36"/>
    <w:rsid w:val="45C6267D"/>
    <w:rsid w:val="45ED3300"/>
    <w:rsid w:val="45ED50AE"/>
    <w:rsid w:val="45F40516"/>
    <w:rsid w:val="460102A4"/>
    <w:rsid w:val="460348D1"/>
    <w:rsid w:val="461049EC"/>
    <w:rsid w:val="4614088C"/>
    <w:rsid w:val="461C6EB7"/>
    <w:rsid w:val="464216D6"/>
    <w:rsid w:val="46504C6F"/>
    <w:rsid w:val="4651388E"/>
    <w:rsid w:val="4654527A"/>
    <w:rsid w:val="466730B2"/>
    <w:rsid w:val="4682613E"/>
    <w:rsid w:val="469F45FA"/>
    <w:rsid w:val="46A95479"/>
    <w:rsid w:val="46AC31BB"/>
    <w:rsid w:val="46AC4F69"/>
    <w:rsid w:val="46C73B51"/>
    <w:rsid w:val="46C92DA7"/>
    <w:rsid w:val="46D958AA"/>
    <w:rsid w:val="46DC75FC"/>
    <w:rsid w:val="46E2098A"/>
    <w:rsid w:val="470D5A07"/>
    <w:rsid w:val="470E79D1"/>
    <w:rsid w:val="471E7C15"/>
    <w:rsid w:val="472D42FC"/>
    <w:rsid w:val="472E597E"/>
    <w:rsid w:val="47310DEC"/>
    <w:rsid w:val="47332F94"/>
    <w:rsid w:val="47372465"/>
    <w:rsid w:val="47376F28"/>
    <w:rsid w:val="473C62ED"/>
    <w:rsid w:val="47411B55"/>
    <w:rsid w:val="477F442B"/>
    <w:rsid w:val="478F28C0"/>
    <w:rsid w:val="47AA594C"/>
    <w:rsid w:val="47AB5220"/>
    <w:rsid w:val="47BE31A6"/>
    <w:rsid w:val="47DB78B4"/>
    <w:rsid w:val="480F3A01"/>
    <w:rsid w:val="481E3AAF"/>
    <w:rsid w:val="48207910"/>
    <w:rsid w:val="48253225"/>
    <w:rsid w:val="483B0352"/>
    <w:rsid w:val="483B08B4"/>
    <w:rsid w:val="484C255F"/>
    <w:rsid w:val="48592ECE"/>
    <w:rsid w:val="48711FC6"/>
    <w:rsid w:val="48724537"/>
    <w:rsid w:val="48895562"/>
    <w:rsid w:val="488B69F8"/>
    <w:rsid w:val="488F069E"/>
    <w:rsid w:val="489C351F"/>
    <w:rsid w:val="48BB76E5"/>
    <w:rsid w:val="48C90054"/>
    <w:rsid w:val="48D84455"/>
    <w:rsid w:val="48FA296C"/>
    <w:rsid w:val="48FF75D2"/>
    <w:rsid w:val="490270C2"/>
    <w:rsid w:val="49027548"/>
    <w:rsid w:val="49211C3E"/>
    <w:rsid w:val="4950590D"/>
    <w:rsid w:val="495105E0"/>
    <w:rsid w:val="495C67D2"/>
    <w:rsid w:val="49634005"/>
    <w:rsid w:val="496833C9"/>
    <w:rsid w:val="49886DB4"/>
    <w:rsid w:val="49970D05"/>
    <w:rsid w:val="49A91C65"/>
    <w:rsid w:val="49AD34D2"/>
    <w:rsid w:val="49DE368B"/>
    <w:rsid w:val="49EE703D"/>
    <w:rsid w:val="4A2D016F"/>
    <w:rsid w:val="4A2F038B"/>
    <w:rsid w:val="4A431F7F"/>
    <w:rsid w:val="4A6F4C2B"/>
    <w:rsid w:val="4A7D10F6"/>
    <w:rsid w:val="4A9C0758"/>
    <w:rsid w:val="4AA26FEC"/>
    <w:rsid w:val="4AA34422"/>
    <w:rsid w:val="4AB26488"/>
    <w:rsid w:val="4ABF170F"/>
    <w:rsid w:val="4AD827D0"/>
    <w:rsid w:val="4AEA53B9"/>
    <w:rsid w:val="4AEC627C"/>
    <w:rsid w:val="4AF84C20"/>
    <w:rsid w:val="4B157580"/>
    <w:rsid w:val="4B1C7C90"/>
    <w:rsid w:val="4B2257F9"/>
    <w:rsid w:val="4B2623E8"/>
    <w:rsid w:val="4B2E6D15"/>
    <w:rsid w:val="4B412124"/>
    <w:rsid w:val="4B50680B"/>
    <w:rsid w:val="4B5D2CD5"/>
    <w:rsid w:val="4B6D78CD"/>
    <w:rsid w:val="4B7A5635"/>
    <w:rsid w:val="4B83098E"/>
    <w:rsid w:val="4B9761E7"/>
    <w:rsid w:val="4BD05255"/>
    <w:rsid w:val="4BDB2578"/>
    <w:rsid w:val="4BE60F1D"/>
    <w:rsid w:val="4BFE6267"/>
    <w:rsid w:val="4C1E06B7"/>
    <w:rsid w:val="4C2630C7"/>
    <w:rsid w:val="4C4579F1"/>
    <w:rsid w:val="4C515898"/>
    <w:rsid w:val="4C6E62A3"/>
    <w:rsid w:val="4CC56D84"/>
    <w:rsid w:val="4CEC4311"/>
    <w:rsid w:val="4CFB09F8"/>
    <w:rsid w:val="4D007DBC"/>
    <w:rsid w:val="4D07739D"/>
    <w:rsid w:val="4D0C6BFE"/>
    <w:rsid w:val="4D0E4287"/>
    <w:rsid w:val="4D5A127B"/>
    <w:rsid w:val="4D673998"/>
    <w:rsid w:val="4D77007F"/>
    <w:rsid w:val="4D8207D1"/>
    <w:rsid w:val="4D8C33FE"/>
    <w:rsid w:val="4D9D385D"/>
    <w:rsid w:val="4DA30E74"/>
    <w:rsid w:val="4DB43081"/>
    <w:rsid w:val="4DB52955"/>
    <w:rsid w:val="4DBA61BD"/>
    <w:rsid w:val="4DBB3CB6"/>
    <w:rsid w:val="4DEC481B"/>
    <w:rsid w:val="4E087FAC"/>
    <w:rsid w:val="4E127DA7"/>
    <w:rsid w:val="4E151645"/>
    <w:rsid w:val="4E165AE9"/>
    <w:rsid w:val="4E3E10AE"/>
    <w:rsid w:val="4E516261"/>
    <w:rsid w:val="4E5B79A0"/>
    <w:rsid w:val="4E7E368F"/>
    <w:rsid w:val="4E8862BB"/>
    <w:rsid w:val="4E946A0E"/>
    <w:rsid w:val="4E9702AC"/>
    <w:rsid w:val="4EC30EDE"/>
    <w:rsid w:val="4EC372F3"/>
    <w:rsid w:val="4ECC264C"/>
    <w:rsid w:val="4ED60DD5"/>
    <w:rsid w:val="4EF92D15"/>
    <w:rsid w:val="4EFF4E69"/>
    <w:rsid w:val="4F1B2C8C"/>
    <w:rsid w:val="4F244236"/>
    <w:rsid w:val="4F2558B8"/>
    <w:rsid w:val="4F544CA2"/>
    <w:rsid w:val="4F5A5BD2"/>
    <w:rsid w:val="4F5A7C58"/>
    <w:rsid w:val="4F9842DC"/>
    <w:rsid w:val="4F9B0FCB"/>
    <w:rsid w:val="4F9D18F3"/>
    <w:rsid w:val="4FB07878"/>
    <w:rsid w:val="4FB70C06"/>
    <w:rsid w:val="4FCB2904"/>
    <w:rsid w:val="4FCC3F86"/>
    <w:rsid w:val="4FD07F1A"/>
    <w:rsid w:val="4FD73056"/>
    <w:rsid w:val="4FE4386B"/>
    <w:rsid w:val="4FF43C08"/>
    <w:rsid w:val="4FF5172F"/>
    <w:rsid w:val="4FFA4F97"/>
    <w:rsid w:val="500C2E3A"/>
    <w:rsid w:val="502C7E07"/>
    <w:rsid w:val="50575F45"/>
    <w:rsid w:val="50586F25"/>
    <w:rsid w:val="50593A6B"/>
    <w:rsid w:val="506A1275"/>
    <w:rsid w:val="50B138A7"/>
    <w:rsid w:val="50B27620"/>
    <w:rsid w:val="50BB64D4"/>
    <w:rsid w:val="50BD1F39"/>
    <w:rsid w:val="50D50081"/>
    <w:rsid w:val="50F10148"/>
    <w:rsid w:val="50FC1EF9"/>
    <w:rsid w:val="510F6820"/>
    <w:rsid w:val="511107EA"/>
    <w:rsid w:val="511F2F07"/>
    <w:rsid w:val="513B13C3"/>
    <w:rsid w:val="513F5357"/>
    <w:rsid w:val="51404C2B"/>
    <w:rsid w:val="5167040A"/>
    <w:rsid w:val="516C3C72"/>
    <w:rsid w:val="516D233C"/>
    <w:rsid w:val="517D5E7F"/>
    <w:rsid w:val="519805C3"/>
    <w:rsid w:val="51B03B5F"/>
    <w:rsid w:val="51C63383"/>
    <w:rsid w:val="51E30784"/>
    <w:rsid w:val="51EB103B"/>
    <w:rsid w:val="51FD0C55"/>
    <w:rsid w:val="52102850"/>
    <w:rsid w:val="5224454D"/>
    <w:rsid w:val="525B1B56"/>
    <w:rsid w:val="526B3F2A"/>
    <w:rsid w:val="52701540"/>
    <w:rsid w:val="52843CD5"/>
    <w:rsid w:val="52854FEC"/>
    <w:rsid w:val="528D20F2"/>
    <w:rsid w:val="529214B7"/>
    <w:rsid w:val="52A35472"/>
    <w:rsid w:val="52B256B5"/>
    <w:rsid w:val="52B70F1D"/>
    <w:rsid w:val="52CA50F4"/>
    <w:rsid w:val="52D852D5"/>
    <w:rsid w:val="52DE46FC"/>
    <w:rsid w:val="530879CB"/>
    <w:rsid w:val="530F0D59"/>
    <w:rsid w:val="535350EA"/>
    <w:rsid w:val="537E1A3B"/>
    <w:rsid w:val="537F5EDF"/>
    <w:rsid w:val="5394125E"/>
    <w:rsid w:val="53987EBC"/>
    <w:rsid w:val="53A019B1"/>
    <w:rsid w:val="53A40EB9"/>
    <w:rsid w:val="53C63C53"/>
    <w:rsid w:val="53D0673A"/>
    <w:rsid w:val="53F561A1"/>
    <w:rsid w:val="53F66196"/>
    <w:rsid w:val="53F71F19"/>
    <w:rsid w:val="53FC471D"/>
    <w:rsid w:val="5412049B"/>
    <w:rsid w:val="54324CFF"/>
    <w:rsid w:val="544F3B03"/>
    <w:rsid w:val="54547704"/>
    <w:rsid w:val="545A24A8"/>
    <w:rsid w:val="549332C4"/>
    <w:rsid w:val="54A13C33"/>
    <w:rsid w:val="54A43723"/>
    <w:rsid w:val="54A6749B"/>
    <w:rsid w:val="54B03E76"/>
    <w:rsid w:val="54B27BEE"/>
    <w:rsid w:val="54DD5EE3"/>
    <w:rsid w:val="54EA7388"/>
    <w:rsid w:val="54EF2BF0"/>
    <w:rsid w:val="54F40207"/>
    <w:rsid w:val="54FE1085"/>
    <w:rsid w:val="55052414"/>
    <w:rsid w:val="55256612"/>
    <w:rsid w:val="553C395C"/>
    <w:rsid w:val="55456CB4"/>
    <w:rsid w:val="554F7B33"/>
    <w:rsid w:val="55524F2D"/>
    <w:rsid w:val="557B0928"/>
    <w:rsid w:val="55821CB6"/>
    <w:rsid w:val="55A82D9F"/>
    <w:rsid w:val="55CB540B"/>
    <w:rsid w:val="55CF47D0"/>
    <w:rsid w:val="55D6790C"/>
    <w:rsid w:val="55D7082B"/>
    <w:rsid w:val="55E069DD"/>
    <w:rsid w:val="55F81F79"/>
    <w:rsid w:val="56075D18"/>
    <w:rsid w:val="560A5808"/>
    <w:rsid w:val="56141C33"/>
    <w:rsid w:val="562763BA"/>
    <w:rsid w:val="56336B0D"/>
    <w:rsid w:val="563C1E65"/>
    <w:rsid w:val="564009F8"/>
    <w:rsid w:val="565A678F"/>
    <w:rsid w:val="56772E9D"/>
    <w:rsid w:val="56B62522"/>
    <w:rsid w:val="56F3629C"/>
    <w:rsid w:val="56FA587C"/>
    <w:rsid w:val="57032983"/>
    <w:rsid w:val="570B5583"/>
    <w:rsid w:val="57286DB3"/>
    <w:rsid w:val="57392849"/>
    <w:rsid w:val="573B036F"/>
    <w:rsid w:val="57462870"/>
    <w:rsid w:val="574865E8"/>
    <w:rsid w:val="575B456D"/>
    <w:rsid w:val="575E405D"/>
    <w:rsid w:val="577B4C0F"/>
    <w:rsid w:val="577E025B"/>
    <w:rsid w:val="57A37CC2"/>
    <w:rsid w:val="57C53579"/>
    <w:rsid w:val="57E02CC4"/>
    <w:rsid w:val="57E9601D"/>
    <w:rsid w:val="57FD5624"/>
    <w:rsid w:val="580746F5"/>
    <w:rsid w:val="580B1D35"/>
    <w:rsid w:val="58150BC0"/>
    <w:rsid w:val="58220F38"/>
    <w:rsid w:val="58237473"/>
    <w:rsid w:val="5829466B"/>
    <w:rsid w:val="582D2ECA"/>
    <w:rsid w:val="585316E8"/>
    <w:rsid w:val="588B0E82"/>
    <w:rsid w:val="588E44CE"/>
    <w:rsid w:val="589E62EB"/>
    <w:rsid w:val="58A61818"/>
    <w:rsid w:val="58B5571B"/>
    <w:rsid w:val="58C148A4"/>
    <w:rsid w:val="58D06FBA"/>
    <w:rsid w:val="58DD0763"/>
    <w:rsid w:val="590A0F1B"/>
    <w:rsid w:val="59215342"/>
    <w:rsid w:val="59246BE1"/>
    <w:rsid w:val="5936284C"/>
    <w:rsid w:val="59376DAF"/>
    <w:rsid w:val="593A4CA4"/>
    <w:rsid w:val="596B480F"/>
    <w:rsid w:val="59875AED"/>
    <w:rsid w:val="598D4786"/>
    <w:rsid w:val="59B2243E"/>
    <w:rsid w:val="59B63CDD"/>
    <w:rsid w:val="59BB7545"/>
    <w:rsid w:val="59D620C4"/>
    <w:rsid w:val="59E22D24"/>
    <w:rsid w:val="59EF3692"/>
    <w:rsid w:val="5A2309DB"/>
    <w:rsid w:val="5A490FF5"/>
    <w:rsid w:val="5A5359CF"/>
    <w:rsid w:val="5A5B4884"/>
    <w:rsid w:val="5A5F4374"/>
    <w:rsid w:val="5A663955"/>
    <w:rsid w:val="5A76346C"/>
    <w:rsid w:val="5A7C139D"/>
    <w:rsid w:val="5A7C4F26"/>
    <w:rsid w:val="5A8913F1"/>
    <w:rsid w:val="5AD05272"/>
    <w:rsid w:val="5AE623A0"/>
    <w:rsid w:val="5AE72A9B"/>
    <w:rsid w:val="5AF80C77"/>
    <w:rsid w:val="5B092532"/>
    <w:rsid w:val="5B0A0784"/>
    <w:rsid w:val="5B0D5B7E"/>
    <w:rsid w:val="5B2D7FCE"/>
    <w:rsid w:val="5B3651C4"/>
    <w:rsid w:val="5B800A46"/>
    <w:rsid w:val="5B90055D"/>
    <w:rsid w:val="5B94004E"/>
    <w:rsid w:val="5BC12002"/>
    <w:rsid w:val="5BD963A8"/>
    <w:rsid w:val="5BEF1728"/>
    <w:rsid w:val="5BFD3E45"/>
    <w:rsid w:val="5C0351D3"/>
    <w:rsid w:val="5C137AFD"/>
    <w:rsid w:val="5C164F06"/>
    <w:rsid w:val="5C1E636D"/>
    <w:rsid w:val="5C237623"/>
    <w:rsid w:val="5C3B496D"/>
    <w:rsid w:val="5C3E7FB9"/>
    <w:rsid w:val="5C49779D"/>
    <w:rsid w:val="5C4A2E02"/>
    <w:rsid w:val="5C4C26D6"/>
    <w:rsid w:val="5C533A65"/>
    <w:rsid w:val="5C6A0DAE"/>
    <w:rsid w:val="5C6E6AF1"/>
    <w:rsid w:val="5C902F0B"/>
    <w:rsid w:val="5C950521"/>
    <w:rsid w:val="5CA61CC5"/>
    <w:rsid w:val="5CA72002"/>
    <w:rsid w:val="5CCB5CF1"/>
    <w:rsid w:val="5CD47089"/>
    <w:rsid w:val="5CEE60FC"/>
    <w:rsid w:val="5CF214D0"/>
    <w:rsid w:val="5CF35248"/>
    <w:rsid w:val="5CF50FC0"/>
    <w:rsid w:val="5D107BA8"/>
    <w:rsid w:val="5D1319DA"/>
    <w:rsid w:val="5D467A6D"/>
    <w:rsid w:val="5D8F31C2"/>
    <w:rsid w:val="5D947D71"/>
    <w:rsid w:val="5D99194B"/>
    <w:rsid w:val="5D9A50C1"/>
    <w:rsid w:val="5D9E3405"/>
    <w:rsid w:val="5DAF5613"/>
    <w:rsid w:val="5DCA244C"/>
    <w:rsid w:val="5DCA7D57"/>
    <w:rsid w:val="5DDD2180"/>
    <w:rsid w:val="5DEF3C61"/>
    <w:rsid w:val="5E0A2849"/>
    <w:rsid w:val="5E14191A"/>
    <w:rsid w:val="5E2C5A66"/>
    <w:rsid w:val="5E3972E5"/>
    <w:rsid w:val="5E3F6694"/>
    <w:rsid w:val="5E5341F0"/>
    <w:rsid w:val="5E563CE0"/>
    <w:rsid w:val="5E5D0BCB"/>
    <w:rsid w:val="5E6261E1"/>
    <w:rsid w:val="5E695530"/>
    <w:rsid w:val="5E774777"/>
    <w:rsid w:val="5E7A79CF"/>
    <w:rsid w:val="5E875C48"/>
    <w:rsid w:val="5E9C4600"/>
    <w:rsid w:val="5EAC6A18"/>
    <w:rsid w:val="5EF77271"/>
    <w:rsid w:val="5F0E45BB"/>
    <w:rsid w:val="5F142678"/>
    <w:rsid w:val="5F20356F"/>
    <w:rsid w:val="5F294F51"/>
    <w:rsid w:val="5F342CE9"/>
    <w:rsid w:val="5F3833E6"/>
    <w:rsid w:val="5F610B8F"/>
    <w:rsid w:val="5F6661A5"/>
    <w:rsid w:val="5F7D704B"/>
    <w:rsid w:val="5F812FDF"/>
    <w:rsid w:val="5F816B3B"/>
    <w:rsid w:val="5F87745E"/>
    <w:rsid w:val="5F990328"/>
    <w:rsid w:val="5FAB3BB8"/>
    <w:rsid w:val="5FBF1411"/>
    <w:rsid w:val="5FCF78A6"/>
    <w:rsid w:val="5FFA1A80"/>
    <w:rsid w:val="600F77DA"/>
    <w:rsid w:val="60193217"/>
    <w:rsid w:val="60575AEE"/>
    <w:rsid w:val="60634492"/>
    <w:rsid w:val="60714E01"/>
    <w:rsid w:val="608D150F"/>
    <w:rsid w:val="608E59B3"/>
    <w:rsid w:val="60932FCA"/>
    <w:rsid w:val="60D86C2E"/>
    <w:rsid w:val="60E16DC7"/>
    <w:rsid w:val="60E303C2"/>
    <w:rsid w:val="60E750C3"/>
    <w:rsid w:val="60F875EA"/>
    <w:rsid w:val="61167757"/>
    <w:rsid w:val="612B4FB0"/>
    <w:rsid w:val="61355E2F"/>
    <w:rsid w:val="6151078F"/>
    <w:rsid w:val="61557096"/>
    <w:rsid w:val="61700C15"/>
    <w:rsid w:val="61750921"/>
    <w:rsid w:val="617F354E"/>
    <w:rsid w:val="6185437C"/>
    <w:rsid w:val="61860438"/>
    <w:rsid w:val="619A1751"/>
    <w:rsid w:val="619F720E"/>
    <w:rsid w:val="61B52ACC"/>
    <w:rsid w:val="61D45A07"/>
    <w:rsid w:val="61E729D2"/>
    <w:rsid w:val="61EA6C19"/>
    <w:rsid w:val="61F421C0"/>
    <w:rsid w:val="61FD726F"/>
    <w:rsid w:val="622171F9"/>
    <w:rsid w:val="62317338"/>
    <w:rsid w:val="62407B32"/>
    <w:rsid w:val="627209BD"/>
    <w:rsid w:val="627925D2"/>
    <w:rsid w:val="62A74B0A"/>
    <w:rsid w:val="62A768B8"/>
    <w:rsid w:val="62C46226"/>
    <w:rsid w:val="62C523FB"/>
    <w:rsid w:val="62CB52E1"/>
    <w:rsid w:val="62D11B87"/>
    <w:rsid w:val="62F13FD7"/>
    <w:rsid w:val="62F37D50"/>
    <w:rsid w:val="6300421A"/>
    <w:rsid w:val="63103592"/>
    <w:rsid w:val="63350368"/>
    <w:rsid w:val="633778C5"/>
    <w:rsid w:val="636B1FDC"/>
    <w:rsid w:val="63846BFA"/>
    <w:rsid w:val="638B442C"/>
    <w:rsid w:val="638E7A78"/>
    <w:rsid w:val="639860B9"/>
    <w:rsid w:val="639D7CBB"/>
    <w:rsid w:val="63A9438F"/>
    <w:rsid w:val="63BA086D"/>
    <w:rsid w:val="63C9253A"/>
    <w:rsid w:val="63D00091"/>
    <w:rsid w:val="63F41FD1"/>
    <w:rsid w:val="63F773CC"/>
    <w:rsid w:val="641E3E83"/>
    <w:rsid w:val="642B52C7"/>
    <w:rsid w:val="64713A6A"/>
    <w:rsid w:val="647B624F"/>
    <w:rsid w:val="648F14D8"/>
    <w:rsid w:val="64947310"/>
    <w:rsid w:val="64A241DD"/>
    <w:rsid w:val="64BF74AD"/>
    <w:rsid w:val="64CC0858"/>
    <w:rsid w:val="64D12312"/>
    <w:rsid w:val="64D94D23"/>
    <w:rsid w:val="64DC4BF4"/>
    <w:rsid w:val="64EC4A56"/>
    <w:rsid w:val="64F41B5D"/>
    <w:rsid w:val="64F8164D"/>
    <w:rsid w:val="651B533C"/>
    <w:rsid w:val="652C579B"/>
    <w:rsid w:val="653E3F84"/>
    <w:rsid w:val="655B1BDC"/>
    <w:rsid w:val="658E1FB1"/>
    <w:rsid w:val="65AB796D"/>
    <w:rsid w:val="65C42D57"/>
    <w:rsid w:val="65E87914"/>
    <w:rsid w:val="65F242EE"/>
    <w:rsid w:val="660404C6"/>
    <w:rsid w:val="6606102C"/>
    <w:rsid w:val="661A55F3"/>
    <w:rsid w:val="66206A18"/>
    <w:rsid w:val="662E7EAC"/>
    <w:rsid w:val="663012BB"/>
    <w:rsid w:val="66342B59"/>
    <w:rsid w:val="66354F05"/>
    <w:rsid w:val="66501015"/>
    <w:rsid w:val="66540B05"/>
    <w:rsid w:val="666F1DE3"/>
    <w:rsid w:val="667967BE"/>
    <w:rsid w:val="667C005C"/>
    <w:rsid w:val="66A7157D"/>
    <w:rsid w:val="66AF2C9C"/>
    <w:rsid w:val="66D06D96"/>
    <w:rsid w:val="66D122FD"/>
    <w:rsid w:val="66F45E44"/>
    <w:rsid w:val="66FC791B"/>
    <w:rsid w:val="670A1B0C"/>
    <w:rsid w:val="67242BCD"/>
    <w:rsid w:val="672C3830"/>
    <w:rsid w:val="6732696D"/>
    <w:rsid w:val="673426E5"/>
    <w:rsid w:val="6746681E"/>
    <w:rsid w:val="674E19F8"/>
    <w:rsid w:val="679A2E90"/>
    <w:rsid w:val="67A55390"/>
    <w:rsid w:val="67A91325"/>
    <w:rsid w:val="67AB6E4B"/>
    <w:rsid w:val="67B215EE"/>
    <w:rsid w:val="67C47F0C"/>
    <w:rsid w:val="67C73559"/>
    <w:rsid w:val="67CA4DF7"/>
    <w:rsid w:val="67CB102B"/>
    <w:rsid w:val="67DD2D7C"/>
    <w:rsid w:val="67E20393"/>
    <w:rsid w:val="67EB5499"/>
    <w:rsid w:val="67F34959"/>
    <w:rsid w:val="67F87BB6"/>
    <w:rsid w:val="68294213"/>
    <w:rsid w:val="682965BB"/>
    <w:rsid w:val="683A4A13"/>
    <w:rsid w:val="683C3F47"/>
    <w:rsid w:val="683F7593"/>
    <w:rsid w:val="684352D5"/>
    <w:rsid w:val="68662D72"/>
    <w:rsid w:val="687436E1"/>
    <w:rsid w:val="688F22C8"/>
    <w:rsid w:val="689E3B8A"/>
    <w:rsid w:val="68B7537B"/>
    <w:rsid w:val="68B93CF2"/>
    <w:rsid w:val="68DC4DE2"/>
    <w:rsid w:val="68F44821"/>
    <w:rsid w:val="691C78D4"/>
    <w:rsid w:val="692E40F3"/>
    <w:rsid w:val="69362744"/>
    <w:rsid w:val="69567CE1"/>
    <w:rsid w:val="69603C65"/>
    <w:rsid w:val="69623EDE"/>
    <w:rsid w:val="696C085C"/>
    <w:rsid w:val="699B4C9D"/>
    <w:rsid w:val="69A1722F"/>
    <w:rsid w:val="69A62BA0"/>
    <w:rsid w:val="69B61AD7"/>
    <w:rsid w:val="69DB153D"/>
    <w:rsid w:val="69F262CB"/>
    <w:rsid w:val="69F85C4B"/>
    <w:rsid w:val="6A253A30"/>
    <w:rsid w:val="6A334ED5"/>
    <w:rsid w:val="6A3749C6"/>
    <w:rsid w:val="6A4964A7"/>
    <w:rsid w:val="6A682DD1"/>
    <w:rsid w:val="6A7D3FB6"/>
    <w:rsid w:val="6AA95198"/>
    <w:rsid w:val="6AB778B5"/>
    <w:rsid w:val="6ABC311D"/>
    <w:rsid w:val="6ADF0BB9"/>
    <w:rsid w:val="6AF705F9"/>
    <w:rsid w:val="6B064398"/>
    <w:rsid w:val="6B133AE7"/>
    <w:rsid w:val="6B170353"/>
    <w:rsid w:val="6B1D5E72"/>
    <w:rsid w:val="6B3E28C1"/>
    <w:rsid w:val="6B476E8A"/>
    <w:rsid w:val="6B4B046E"/>
    <w:rsid w:val="6B52582F"/>
    <w:rsid w:val="6B5259F4"/>
    <w:rsid w:val="6B7316A4"/>
    <w:rsid w:val="6B7B2FD8"/>
    <w:rsid w:val="6B7E4C5D"/>
    <w:rsid w:val="6BA047ED"/>
    <w:rsid w:val="6BBB1626"/>
    <w:rsid w:val="6BBC47BD"/>
    <w:rsid w:val="6BCFCE22"/>
    <w:rsid w:val="6BEC17E0"/>
    <w:rsid w:val="6C283F43"/>
    <w:rsid w:val="6C335661"/>
    <w:rsid w:val="6C4433CA"/>
    <w:rsid w:val="6C586513"/>
    <w:rsid w:val="6C7B05E2"/>
    <w:rsid w:val="6C8359F4"/>
    <w:rsid w:val="6CB0280D"/>
    <w:rsid w:val="6CBE13CE"/>
    <w:rsid w:val="6CC91B21"/>
    <w:rsid w:val="6CE150BD"/>
    <w:rsid w:val="6CF272CA"/>
    <w:rsid w:val="6D0B14CF"/>
    <w:rsid w:val="6D162FB8"/>
    <w:rsid w:val="6D4318D3"/>
    <w:rsid w:val="6D434595"/>
    <w:rsid w:val="6D4573FA"/>
    <w:rsid w:val="6D7970A3"/>
    <w:rsid w:val="6D7C6B93"/>
    <w:rsid w:val="6D8C327A"/>
    <w:rsid w:val="6D946ECB"/>
    <w:rsid w:val="6D9F3FE9"/>
    <w:rsid w:val="6DA700B4"/>
    <w:rsid w:val="6DB4076A"/>
    <w:rsid w:val="6DB77BCC"/>
    <w:rsid w:val="6DC9057F"/>
    <w:rsid w:val="6DC95F17"/>
    <w:rsid w:val="6DD8026E"/>
    <w:rsid w:val="6DFB148C"/>
    <w:rsid w:val="6E0F17B6"/>
    <w:rsid w:val="6E153270"/>
    <w:rsid w:val="6E190503"/>
    <w:rsid w:val="6E261E32"/>
    <w:rsid w:val="6E301E58"/>
    <w:rsid w:val="6E4B4EE4"/>
    <w:rsid w:val="6E6848B4"/>
    <w:rsid w:val="6E731D44"/>
    <w:rsid w:val="6E873A42"/>
    <w:rsid w:val="6E9D3265"/>
    <w:rsid w:val="6EC727D8"/>
    <w:rsid w:val="6ECE1671"/>
    <w:rsid w:val="6ED30A35"/>
    <w:rsid w:val="6ED722D3"/>
    <w:rsid w:val="6EE804F1"/>
    <w:rsid w:val="6EE80984"/>
    <w:rsid w:val="6F0D3F47"/>
    <w:rsid w:val="6F287F6F"/>
    <w:rsid w:val="6F2D283B"/>
    <w:rsid w:val="6F6A75EB"/>
    <w:rsid w:val="6F865AA7"/>
    <w:rsid w:val="6F8B1310"/>
    <w:rsid w:val="6F8F7052"/>
    <w:rsid w:val="6F96218E"/>
    <w:rsid w:val="6FB6638D"/>
    <w:rsid w:val="6FB865A9"/>
    <w:rsid w:val="6FC51CA8"/>
    <w:rsid w:val="6FE4739E"/>
    <w:rsid w:val="6FF670D1"/>
    <w:rsid w:val="6FFA819D"/>
    <w:rsid w:val="701E3F32"/>
    <w:rsid w:val="703B0F88"/>
    <w:rsid w:val="70531E2E"/>
    <w:rsid w:val="70634617"/>
    <w:rsid w:val="70636969"/>
    <w:rsid w:val="706C7393"/>
    <w:rsid w:val="707840A8"/>
    <w:rsid w:val="708B0396"/>
    <w:rsid w:val="70A408DB"/>
    <w:rsid w:val="70A97C9F"/>
    <w:rsid w:val="70AC5B69"/>
    <w:rsid w:val="70AE6490"/>
    <w:rsid w:val="70C366B0"/>
    <w:rsid w:val="70D56CE6"/>
    <w:rsid w:val="70D80585"/>
    <w:rsid w:val="70E36668"/>
    <w:rsid w:val="70E5442F"/>
    <w:rsid w:val="70F058CE"/>
    <w:rsid w:val="70F213F3"/>
    <w:rsid w:val="71072C18"/>
    <w:rsid w:val="711D674E"/>
    <w:rsid w:val="712026E3"/>
    <w:rsid w:val="7128150C"/>
    <w:rsid w:val="71397275"/>
    <w:rsid w:val="714F4CEB"/>
    <w:rsid w:val="715B3690"/>
    <w:rsid w:val="716122BB"/>
    <w:rsid w:val="716B31A7"/>
    <w:rsid w:val="71A768D5"/>
    <w:rsid w:val="71C132A7"/>
    <w:rsid w:val="71DB657E"/>
    <w:rsid w:val="71EA67C2"/>
    <w:rsid w:val="71FD64F5"/>
    <w:rsid w:val="72071122"/>
    <w:rsid w:val="720A29C0"/>
    <w:rsid w:val="720B63C0"/>
    <w:rsid w:val="72213E66"/>
    <w:rsid w:val="722C2936"/>
    <w:rsid w:val="72330169"/>
    <w:rsid w:val="724A3704"/>
    <w:rsid w:val="724F65E2"/>
    <w:rsid w:val="7275647C"/>
    <w:rsid w:val="72834520"/>
    <w:rsid w:val="728C1B45"/>
    <w:rsid w:val="72BD3ED6"/>
    <w:rsid w:val="72BF0364"/>
    <w:rsid w:val="72D27981"/>
    <w:rsid w:val="72D80D10"/>
    <w:rsid w:val="72F0605A"/>
    <w:rsid w:val="72F6676F"/>
    <w:rsid w:val="72F86CBC"/>
    <w:rsid w:val="72FB055A"/>
    <w:rsid w:val="73263829"/>
    <w:rsid w:val="732C59B5"/>
    <w:rsid w:val="73334198"/>
    <w:rsid w:val="7346211D"/>
    <w:rsid w:val="73465C7A"/>
    <w:rsid w:val="736425A4"/>
    <w:rsid w:val="73934B26"/>
    <w:rsid w:val="73A34E7A"/>
    <w:rsid w:val="73AF288C"/>
    <w:rsid w:val="73D83EF4"/>
    <w:rsid w:val="73E02686"/>
    <w:rsid w:val="73EF00BF"/>
    <w:rsid w:val="74024296"/>
    <w:rsid w:val="74117B3F"/>
    <w:rsid w:val="74152E80"/>
    <w:rsid w:val="742064CB"/>
    <w:rsid w:val="742862C6"/>
    <w:rsid w:val="742C4E6F"/>
    <w:rsid w:val="7443040B"/>
    <w:rsid w:val="744F272C"/>
    <w:rsid w:val="74602D6B"/>
    <w:rsid w:val="746B1DAF"/>
    <w:rsid w:val="746E1B45"/>
    <w:rsid w:val="748A428C"/>
    <w:rsid w:val="748F1AFC"/>
    <w:rsid w:val="749D7B1B"/>
    <w:rsid w:val="74B15375"/>
    <w:rsid w:val="74C4779E"/>
    <w:rsid w:val="74DA2B1D"/>
    <w:rsid w:val="74DB00EA"/>
    <w:rsid w:val="74F6547D"/>
    <w:rsid w:val="750924D8"/>
    <w:rsid w:val="75181898"/>
    <w:rsid w:val="751A116C"/>
    <w:rsid w:val="751B4EE4"/>
    <w:rsid w:val="752A3F99"/>
    <w:rsid w:val="752B3379"/>
    <w:rsid w:val="753164B5"/>
    <w:rsid w:val="75363ACC"/>
    <w:rsid w:val="753A7A60"/>
    <w:rsid w:val="7544268D"/>
    <w:rsid w:val="75660855"/>
    <w:rsid w:val="759E1D9D"/>
    <w:rsid w:val="759F78C3"/>
    <w:rsid w:val="75BA46FD"/>
    <w:rsid w:val="75C8506C"/>
    <w:rsid w:val="75D82CCE"/>
    <w:rsid w:val="75E225A7"/>
    <w:rsid w:val="75F41852"/>
    <w:rsid w:val="7629262A"/>
    <w:rsid w:val="764C6175"/>
    <w:rsid w:val="765E32DA"/>
    <w:rsid w:val="767945B8"/>
    <w:rsid w:val="76805946"/>
    <w:rsid w:val="76830F93"/>
    <w:rsid w:val="768E0063"/>
    <w:rsid w:val="769110C7"/>
    <w:rsid w:val="769B62DC"/>
    <w:rsid w:val="76B86E8E"/>
    <w:rsid w:val="76BC122C"/>
    <w:rsid w:val="76D13703"/>
    <w:rsid w:val="76D417EE"/>
    <w:rsid w:val="76F61765"/>
    <w:rsid w:val="77012625"/>
    <w:rsid w:val="7704694D"/>
    <w:rsid w:val="771542E1"/>
    <w:rsid w:val="77183DD1"/>
    <w:rsid w:val="77194CE2"/>
    <w:rsid w:val="771A5453"/>
    <w:rsid w:val="771B741D"/>
    <w:rsid w:val="77364257"/>
    <w:rsid w:val="77366005"/>
    <w:rsid w:val="774E15A1"/>
    <w:rsid w:val="775748F9"/>
    <w:rsid w:val="775C3661"/>
    <w:rsid w:val="77871237"/>
    <w:rsid w:val="77911727"/>
    <w:rsid w:val="77E55F64"/>
    <w:rsid w:val="77EA18BC"/>
    <w:rsid w:val="77EE068E"/>
    <w:rsid w:val="780600CD"/>
    <w:rsid w:val="780D4FB8"/>
    <w:rsid w:val="782D565A"/>
    <w:rsid w:val="783A53EF"/>
    <w:rsid w:val="7840713B"/>
    <w:rsid w:val="786A065C"/>
    <w:rsid w:val="78704DF0"/>
    <w:rsid w:val="78B35B5F"/>
    <w:rsid w:val="78C15F64"/>
    <w:rsid w:val="78D12489"/>
    <w:rsid w:val="78D322D8"/>
    <w:rsid w:val="78D87374"/>
    <w:rsid w:val="78EC0CB4"/>
    <w:rsid w:val="78F46178"/>
    <w:rsid w:val="78F817C4"/>
    <w:rsid w:val="78FD6DDA"/>
    <w:rsid w:val="79200D1B"/>
    <w:rsid w:val="792C3F7A"/>
    <w:rsid w:val="79415644"/>
    <w:rsid w:val="79442C5B"/>
    <w:rsid w:val="795C2A94"/>
    <w:rsid w:val="79764DDF"/>
    <w:rsid w:val="797C4DD7"/>
    <w:rsid w:val="798E2128"/>
    <w:rsid w:val="798E3ED6"/>
    <w:rsid w:val="799D05BD"/>
    <w:rsid w:val="799F4335"/>
    <w:rsid w:val="79C3347E"/>
    <w:rsid w:val="79CD2C51"/>
    <w:rsid w:val="79CE0777"/>
    <w:rsid w:val="79F931E1"/>
    <w:rsid w:val="79FC1788"/>
    <w:rsid w:val="7A027492"/>
    <w:rsid w:val="7A0348C4"/>
    <w:rsid w:val="7A1220CC"/>
    <w:rsid w:val="7A1268B5"/>
    <w:rsid w:val="7A3C3932"/>
    <w:rsid w:val="7A4D5B40"/>
    <w:rsid w:val="7A575F57"/>
    <w:rsid w:val="7A5E5F9F"/>
    <w:rsid w:val="7A8772A3"/>
    <w:rsid w:val="7A884DCA"/>
    <w:rsid w:val="7AA15E8B"/>
    <w:rsid w:val="7AAD65DE"/>
    <w:rsid w:val="7AB11687"/>
    <w:rsid w:val="7AB931D5"/>
    <w:rsid w:val="7ACA7190"/>
    <w:rsid w:val="7ACD6C80"/>
    <w:rsid w:val="7ACF6635"/>
    <w:rsid w:val="7AEA5A84"/>
    <w:rsid w:val="7AF91823"/>
    <w:rsid w:val="7B034450"/>
    <w:rsid w:val="7B0F54EB"/>
    <w:rsid w:val="7B1A0118"/>
    <w:rsid w:val="7B1E128A"/>
    <w:rsid w:val="7B1EE665"/>
    <w:rsid w:val="7B2F54B5"/>
    <w:rsid w:val="7B354F51"/>
    <w:rsid w:val="7B3D7962"/>
    <w:rsid w:val="7B523868"/>
    <w:rsid w:val="7B5A6766"/>
    <w:rsid w:val="7B5B24DE"/>
    <w:rsid w:val="7B66335D"/>
    <w:rsid w:val="7B694BFB"/>
    <w:rsid w:val="7B7315D6"/>
    <w:rsid w:val="7BA47323"/>
    <w:rsid w:val="7BAB5214"/>
    <w:rsid w:val="7BAF03F7"/>
    <w:rsid w:val="7BBA0FB3"/>
    <w:rsid w:val="7BCE2CB0"/>
    <w:rsid w:val="7BD858DD"/>
    <w:rsid w:val="7BDA3403"/>
    <w:rsid w:val="7BDD38DF"/>
    <w:rsid w:val="7BEE5100"/>
    <w:rsid w:val="7BF904A3"/>
    <w:rsid w:val="7BFC15CB"/>
    <w:rsid w:val="7C180B2E"/>
    <w:rsid w:val="7C26131F"/>
    <w:rsid w:val="7C2720F2"/>
    <w:rsid w:val="7C3F770A"/>
    <w:rsid w:val="7C43714C"/>
    <w:rsid w:val="7C5A4544"/>
    <w:rsid w:val="7C647170"/>
    <w:rsid w:val="7C790E6E"/>
    <w:rsid w:val="7C887303"/>
    <w:rsid w:val="7C9712F4"/>
    <w:rsid w:val="7CA83501"/>
    <w:rsid w:val="7CB9570E"/>
    <w:rsid w:val="7CBB76D8"/>
    <w:rsid w:val="7CCD1A56"/>
    <w:rsid w:val="7CD10CAA"/>
    <w:rsid w:val="7CDE33C7"/>
    <w:rsid w:val="7CED7166"/>
    <w:rsid w:val="7D0C3A90"/>
    <w:rsid w:val="7D1D3EEF"/>
    <w:rsid w:val="7D1E3EA3"/>
    <w:rsid w:val="7D3354C1"/>
    <w:rsid w:val="7D3702E5"/>
    <w:rsid w:val="7D63567A"/>
    <w:rsid w:val="7D755AD9"/>
    <w:rsid w:val="7D8B70AB"/>
    <w:rsid w:val="7DA22646"/>
    <w:rsid w:val="7DAE4B47"/>
    <w:rsid w:val="7DAE6C72"/>
    <w:rsid w:val="7DB303AF"/>
    <w:rsid w:val="7DBB7264"/>
    <w:rsid w:val="7DC12ACC"/>
    <w:rsid w:val="7DCE51E9"/>
    <w:rsid w:val="7DD81917"/>
    <w:rsid w:val="7DDC1500"/>
    <w:rsid w:val="7DDE4768"/>
    <w:rsid w:val="7DE844FD"/>
    <w:rsid w:val="7DF05160"/>
    <w:rsid w:val="7DF54524"/>
    <w:rsid w:val="7DFF1847"/>
    <w:rsid w:val="7DFF35F5"/>
    <w:rsid w:val="7E0F7ABB"/>
    <w:rsid w:val="7E105802"/>
    <w:rsid w:val="7E2272E3"/>
    <w:rsid w:val="7E3712E7"/>
    <w:rsid w:val="7E505BFE"/>
    <w:rsid w:val="7E6B31AE"/>
    <w:rsid w:val="7E6E42D6"/>
    <w:rsid w:val="7E7F64E4"/>
    <w:rsid w:val="7EA146AC"/>
    <w:rsid w:val="7EB60008"/>
    <w:rsid w:val="7EC42148"/>
    <w:rsid w:val="7EDC30EB"/>
    <w:rsid w:val="7EEF2C4C"/>
    <w:rsid w:val="7EF8136D"/>
    <w:rsid w:val="7F182BC0"/>
    <w:rsid w:val="7F267F08"/>
    <w:rsid w:val="7F3FD8F5"/>
    <w:rsid w:val="7F4FF76D"/>
    <w:rsid w:val="7F565B5F"/>
    <w:rsid w:val="7F577294"/>
    <w:rsid w:val="7F5E259D"/>
    <w:rsid w:val="7F7F4E8D"/>
    <w:rsid w:val="7F870019"/>
    <w:rsid w:val="7F8738A2"/>
    <w:rsid w:val="7F961D37"/>
    <w:rsid w:val="7FAC4C99"/>
    <w:rsid w:val="7FB0104A"/>
    <w:rsid w:val="7FC3027E"/>
    <w:rsid w:val="7FC44AF6"/>
    <w:rsid w:val="7FDD1714"/>
    <w:rsid w:val="7FDF723A"/>
    <w:rsid w:val="7FEA3E31"/>
    <w:rsid w:val="7FF37189"/>
    <w:rsid w:val="B6DFD99A"/>
    <w:rsid w:val="BF47EA16"/>
    <w:rsid w:val="CFEF73C2"/>
    <w:rsid w:val="E74DD106"/>
    <w:rsid w:val="EAF9AAD5"/>
    <w:rsid w:val="EBFDE926"/>
    <w:rsid w:val="ECDCB5FD"/>
    <w:rsid w:val="EEF79D81"/>
    <w:rsid w:val="FBF59284"/>
    <w:rsid w:val="FD77ADB3"/>
    <w:rsid w:val="FEFDF03F"/>
    <w:rsid w:val="FEFF59ED"/>
    <w:rsid w:val="FF8F13CE"/>
    <w:rsid w:val="FFDAD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1830"/>
      </w:tabs>
      <w:spacing w:line="360" w:lineRule="auto"/>
      <w:ind w:left="0" w:firstLine="0"/>
      <w:jc w:val="center"/>
      <w:outlineLvl w:val="0"/>
    </w:pPr>
    <w:rPr>
      <w:rFonts w:ascii="Arial" w:hAnsi="Arial" w:eastAsia="宋体"/>
      <w:b/>
      <w:sz w:val="36"/>
      <w:szCs w:val="20"/>
      <w:lang w:bidi="he-IL"/>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link w:val="35"/>
    <w:qFormat/>
    <w:uiPriority w:val="0"/>
    <w:pPr>
      <w:spacing w:after="120"/>
    </w:pPr>
  </w:style>
  <w:style w:type="paragraph" w:styleId="6">
    <w:name w:val="Body Text 2"/>
    <w:basedOn w:val="1"/>
    <w:next w:val="5"/>
    <w:qFormat/>
    <w:uiPriority w:val="0"/>
    <w:pPr>
      <w:spacing w:after="120" w:afterLines="0" w:line="480" w:lineRule="auto"/>
    </w:pPr>
    <w:rPr>
      <w:kern w:val="2"/>
      <w:sz w:val="21"/>
      <w:szCs w:val="24"/>
    </w:rPr>
  </w:style>
  <w:style w:type="paragraph" w:styleId="7">
    <w:name w:val="Plain Text"/>
    <w:basedOn w:val="1"/>
    <w:qFormat/>
    <w:uiPriority w:val="0"/>
    <w:rPr>
      <w:rFonts w:ascii="宋体" w:hAnsi="Courier New"/>
    </w:rPr>
  </w:style>
  <w:style w:type="paragraph" w:styleId="8">
    <w:name w:val="Balloon Text"/>
    <w:basedOn w:val="1"/>
    <w:link w:val="34"/>
    <w:qFormat/>
    <w:uiPriority w:val="0"/>
    <w:rPr>
      <w:sz w:val="18"/>
      <w:szCs w:val="18"/>
    </w:rPr>
  </w:style>
  <w:style w:type="paragraph" w:styleId="9">
    <w:name w:val="footer"/>
    <w:basedOn w:val="1"/>
    <w:link w:val="47"/>
    <w:qFormat/>
    <w:uiPriority w:val="99"/>
    <w:pPr>
      <w:tabs>
        <w:tab w:val="center" w:pos="4153"/>
        <w:tab w:val="right" w:pos="8306"/>
      </w:tabs>
      <w:snapToGrid w:val="0"/>
      <w:jc w:val="left"/>
    </w:pPr>
    <w:rPr>
      <w:sz w:val="18"/>
      <w:szCs w:val="20"/>
      <w:lang w:bidi="he-IL"/>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2"/>
    <w:next w:val="1"/>
    <w:qFormat/>
    <w:uiPriority w:val="39"/>
    <w:rPr>
      <w:rFonts w:eastAsia="黑体"/>
      <w:sz w:val="28"/>
    </w:rPr>
  </w:style>
  <w:style w:type="paragraph" w:styleId="12">
    <w:name w:val="index 1"/>
    <w:basedOn w:val="1"/>
    <w:next w:val="1"/>
    <w:semiHidden/>
    <w:qFormat/>
    <w:uiPriority w:val="0"/>
    <w:rPr>
      <w:rFonts w:eastAsia="仿宋_GB2312"/>
      <w:b/>
      <w:sz w:val="24"/>
      <w:szCs w:val="20"/>
    </w:rPr>
  </w:style>
  <w:style w:type="paragraph" w:styleId="13">
    <w:name w:val="toc 2"/>
    <w:basedOn w:val="14"/>
    <w:next w:val="14"/>
    <w:qFormat/>
    <w:uiPriority w:val="39"/>
    <w:pPr>
      <w:ind w:left="420"/>
    </w:pPr>
    <w:rPr>
      <w:rFonts w:eastAsia="仿宋_GB2312"/>
      <w:b/>
      <w:sz w:val="24"/>
    </w:rPr>
  </w:style>
  <w:style w:type="paragraph" w:styleId="14">
    <w:name w:val="index 2"/>
    <w:basedOn w:val="1"/>
    <w:next w:val="1"/>
    <w:qFormat/>
    <w:uiPriority w:val="0"/>
    <w:pPr>
      <w:ind w:left="200" w:leftChars="200"/>
    </w:pPr>
    <w:rPr>
      <w:szCs w:val="20"/>
    </w:r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w:basedOn w:val="5"/>
    <w:link w:val="36"/>
    <w:unhideWhenUsed/>
    <w:qFormat/>
    <w:uiPriority w:val="99"/>
    <w:pPr>
      <w:spacing w:line="400" w:lineRule="atLeast"/>
      <w:ind w:firstLine="426"/>
    </w:pPr>
    <w:rPr>
      <w:sz w:val="24"/>
      <w:szCs w:val="20"/>
    </w:rPr>
  </w:style>
  <w:style w:type="paragraph" w:styleId="17">
    <w:name w:val="Body Text First Indent 2"/>
    <w:basedOn w:val="5"/>
    <w:next w:val="1"/>
    <w:qFormat/>
    <w:uiPriority w:val="0"/>
    <w:pPr>
      <w:spacing w:line="360" w:lineRule="exact"/>
      <w:ind w:firstLine="420" w:firstLineChars="200"/>
    </w:pPr>
    <w:rPr>
      <w:rFonts w:ascii="Arial" w:hAnsi="Arial"/>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color w:val="CC0000"/>
    </w:rPr>
  </w:style>
  <w:style w:type="character" w:styleId="24">
    <w:name w:val="Hyperlink"/>
    <w:qFormat/>
    <w:uiPriority w:val="99"/>
    <w:rPr>
      <w:color w:val="0000FF"/>
      <w:u w:val="single"/>
    </w:rPr>
  </w:style>
  <w:style w:type="character" w:styleId="25">
    <w:name w:val="HTML Cite"/>
    <w:basedOn w:val="20"/>
    <w:qFormat/>
    <w:uiPriority w:val="0"/>
    <w:rPr>
      <w:color w:val="008000"/>
    </w:rPr>
  </w:style>
  <w:style w:type="paragraph" w:customStyle="1" w:styleId="26">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27">
    <w:name w:val="章标题"/>
    <w:basedOn w:val="1"/>
    <w:qFormat/>
    <w:uiPriority w:val="0"/>
    <w:pPr>
      <w:jc w:val="center"/>
    </w:pPr>
    <w:rPr>
      <w:rFonts w:ascii="宋体" w:hAnsi="宋体" w:eastAsia="黑体"/>
      <w:b/>
      <w:sz w:val="28"/>
      <w:szCs w:val="30"/>
    </w:rPr>
  </w:style>
  <w:style w:type="paragraph" w:customStyle="1" w:styleId="28">
    <w:name w:val="GW-正文"/>
    <w:basedOn w:val="1"/>
    <w:qFormat/>
    <w:uiPriority w:val="0"/>
    <w:pPr>
      <w:spacing w:line="360" w:lineRule="auto"/>
      <w:ind w:firstLine="200" w:firstLineChars="200"/>
      <w:contextualSpacing/>
    </w:pPr>
  </w:style>
  <w:style w:type="paragraph" w:customStyle="1" w:styleId="29">
    <w:name w:val="p0"/>
    <w:basedOn w:val="1"/>
    <w:qFormat/>
    <w:uiPriority w:val="0"/>
    <w:pPr>
      <w:widowControl/>
    </w:pPr>
    <w:rPr>
      <w:kern w:val="0"/>
      <w:szCs w:val="21"/>
    </w:rPr>
  </w:style>
  <w:style w:type="paragraph" w:customStyle="1" w:styleId="30">
    <w:name w:val="节标题"/>
    <w:basedOn w:val="1"/>
    <w:qFormat/>
    <w:uiPriority w:val="0"/>
    <w:pPr>
      <w:ind w:firstLine="1928" w:firstLineChars="800"/>
    </w:pPr>
    <w:rPr>
      <w:rFonts w:ascii="宋体" w:hAnsi="宋体" w:cs="Arial"/>
      <w:b/>
    </w:rPr>
  </w:style>
  <w:style w:type="paragraph" w:customStyle="1" w:styleId="31">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fontstyle01"/>
    <w:qFormat/>
    <w:uiPriority w:val="0"/>
    <w:rPr>
      <w:rFonts w:hint="eastAsia" w:ascii="宋体" w:hAnsi="宋体" w:eastAsia="宋体"/>
      <w:color w:val="000000"/>
      <w:sz w:val="24"/>
      <w:szCs w:val="24"/>
    </w:rPr>
  </w:style>
  <w:style w:type="character" w:customStyle="1" w:styleId="33">
    <w:name w:val="标题 2 Char"/>
    <w:link w:val="3"/>
    <w:qFormat/>
    <w:uiPriority w:val="0"/>
    <w:rPr>
      <w:rFonts w:ascii="Arial" w:hAnsi="Arial" w:eastAsia="黑体"/>
      <w:b/>
      <w:bCs/>
      <w:sz w:val="32"/>
      <w:szCs w:val="32"/>
    </w:rPr>
  </w:style>
  <w:style w:type="character" w:customStyle="1" w:styleId="34">
    <w:name w:val="批注框文本 Char"/>
    <w:basedOn w:val="20"/>
    <w:link w:val="8"/>
    <w:qFormat/>
    <w:uiPriority w:val="0"/>
    <w:rPr>
      <w:kern w:val="2"/>
      <w:sz w:val="18"/>
      <w:szCs w:val="18"/>
    </w:rPr>
  </w:style>
  <w:style w:type="character" w:customStyle="1" w:styleId="35">
    <w:name w:val="正文文本 Char"/>
    <w:basedOn w:val="20"/>
    <w:link w:val="5"/>
    <w:qFormat/>
    <w:uiPriority w:val="0"/>
    <w:rPr>
      <w:kern w:val="2"/>
      <w:sz w:val="21"/>
      <w:szCs w:val="24"/>
    </w:rPr>
  </w:style>
  <w:style w:type="character" w:customStyle="1" w:styleId="36">
    <w:name w:val="正文首行缩进 Char"/>
    <w:basedOn w:val="35"/>
    <w:link w:val="16"/>
    <w:qFormat/>
    <w:uiPriority w:val="99"/>
    <w:rPr>
      <w:kern w:val="2"/>
      <w:sz w:val="24"/>
      <w:szCs w:val="24"/>
    </w:rPr>
  </w:style>
  <w:style w:type="paragraph" w:customStyle="1" w:styleId="37">
    <w:name w:val="列出段落1"/>
    <w:basedOn w:val="1"/>
    <w:qFormat/>
    <w:uiPriority w:val="34"/>
    <w:pPr>
      <w:ind w:firstLine="420" w:firstLineChars="200"/>
    </w:pPr>
    <w:rPr>
      <w:rFonts w:ascii="Calibri" w:hAnsi="Calibri"/>
      <w:szCs w:val="22"/>
    </w:rPr>
  </w:style>
  <w:style w:type="character" w:customStyle="1" w:styleId="38">
    <w:name w:val="c-icon13"/>
    <w:basedOn w:val="20"/>
    <w:qFormat/>
    <w:uiPriority w:val="0"/>
  </w:style>
  <w:style w:type="character" w:customStyle="1" w:styleId="39">
    <w:name w:val="c-icon14"/>
    <w:basedOn w:val="20"/>
    <w:qFormat/>
    <w:uiPriority w:val="0"/>
  </w:style>
  <w:style w:type="character" w:customStyle="1" w:styleId="40">
    <w:name w:val="hover18"/>
    <w:basedOn w:val="20"/>
    <w:qFormat/>
    <w:uiPriority w:val="0"/>
  </w:style>
  <w:style w:type="character" w:customStyle="1" w:styleId="41">
    <w:name w:val="hover19"/>
    <w:basedOn w:val="20"/>
    <w:qFormat/>
    <w:uiPriority w:val="0"/>
    <w:rPr>
      <w:color w:val="315EFB"/>
    </w:rPr>
  </w:style>
  <w:style w:type="character" w:customStyle="1" w:styleId="42">
    <w:name w:val="c-icon28"/>
    <w:basedOn w:val="20"/>
    <w:qFormat/>
    <w:uiPriority w:val="0"/>
  </w:style>
  <w:style w:type="character" w:customStyle="1" w:styleId="43">
    <w:name w:val="c-icon26"/>
    <w:basedOn w:val="20"/>
    <w:qFormat/>
    <w:uiPriority w:val="0"/>
  </w:style>
  <w:style w:type="paragraph" w:customStyle="1" w:styleId="44">
    <w:name w:val="列出段落2"/>
    <w:basedOn w:val="1"/>
    <w:qFormat/>
    <w:uiPriority w:val="34"/>
    <w:pPr>
      <w:ind w:firstLine="420" w:firstLineChars="200"/>
    </w:pPr>
    <w:rPr>
      <w:kern w:val="0"/>
      <w:sz w:val="20"/>
      <w:szCs w:val="20"/>
    </w:rPr>
  </w:style>
  <w:style w:type="character" w:customStyle="1" w:styleId="45">
    <w:name w:val="font41"/>
    <w:basedOn w:val="20"/>
    <w:qFormat/>
    <w:uiPriority w:val="0"/>
    <w:rPr>
      <w:rFonts w:hint="default" w:ascii="等线" w:hAnsi="等线" w:eastAsia="等线" w:cs="等线"/>
      <w:color w:val="000000"/>
      <w:sz w:val="22"/>
      <w:szCs w:val="22"/>
      <w:u w:val="none"/>
    </w:rPr>
  </w:style>
  <w:style w:type="character" w:customStyle="1" w:styleId="46">
    <w:name w:val="font01"/>
    <w:basedOn w:val="20"/>
    <w:qFormat/>
    <w:uiPriority w:val="0"/>
    <w:rPr>
      <w:rFonts w:ascii="DengXian ( 正文 )" w:hAnsi="DengXian ( 正文 )" w:eastAsia="DengXian ( 正文 )" w:cs="DengXian ( 正文 )"/>
      <w:color w:val="000000"/>
      <w:sz w:val="22"/>
      <w:szCs w:val="22"/>
      <w:u w:val="none"/>
    </w:rPr>
  </w:style>
  <w:style w:type="character" w:customStyle="1" w:styleId="47">
    <w:name w:val="页脚 Char"/>
    <w:link w:val="9"/>
    <w:qFormat/>
    <w:uiPriority w:val="99"/>
    <w:rPr>
      <w:rFonts w:ascii="Times New Roman" w:hAnsi="Times New Roman"/>
      <w:kern w:val="2"/>
      <w:sz w:val="18"/>
      <w:lang w:bidi="he-IL"/>
    </w:rPr>
  </w:style>
  <w:style w:type="paragraph" w:customStyle="1" w:styleId="4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9">
    <w:name w:val="样式 标题 2 + 宋体 五号 行距: 单倍行距"/>
    <w:basedOn w:val="3"/>
    <w:qFormat/>
    <w:uiPriority w:val="0"/>
    <w:pPr>
      <w:spacing w:line="240" w:lineRule="auto"/>
    </w:pPr>
    <w:rPr>
      <w:rFonts w:ascii="宋体" w:hAnsi="宋体" w:eastAsia="宋体"/>
      <w:sz w:val="21"/>
    </w:rPr>
  </w:style>
  <w:style w:type="character" w:customStyle="1" w:styleId="50">
    <w:name w:val="标题 2 Char1"/>
    <w:link w:val="3"/>
    <w:autoRedefine/>
    <w:qFormat/>
    <w:uiPriority w:val="0"/>
    <w:rPr>
      <w:rFonts w:ascii="Arial" w:hAnsi="Arial" w:eastAsia="黑体"/>
      <w:b/>
      <w:bCs/>
      <w:sz w:val="32"/>
      <w:szCs w:val="32"/>
    </w:rPr>
  </w:style>
  <w:style w:type="paragraph" w:customStyle="1" w:styleId="51">
    <w:name w:val="样式1"/>
    <w:basedOn w:val="1"/>
    <w:qFormat/>
    <w:uiPriority w:val="0"/>
    <w:pPr>
      <w:widowControl w:val="0"/>
      <w:ind w:firstLine="480" w:firstLineChars="200"/>
      <w:jc w:val="both"/>
    </w:pPr>
    <w:rPr>
      <w:rFonts w:asciiTheme="minorHAnsi" w:hAnsiTheme="minorHAnsi" w:eastAsiaTheme="minorEastAsia" w:cstheme="minorBidi"/>
      <w:kern w:val="2"/>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10838</Words>
  <Characters>11295</Characters>
  <Lines>130</Lines>
  <Paragraphs>36</Paragraphs>
  <TotalTime>1</TotalTime>
  <ScaleCrop>false</ScaleCrop>
  <LinksUpToDate>false</LinksUpToDate>
  <CharactersWithSpaces>11635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2020-02-04T00:14:00Z</dcterms:created>
  <dc:creator>Vincent</dc:creator>
  <cp:lastModifiedBy>Star</cp:lastModifiedBy>
  <cp:lastPrinted>2020-05-07T00:01:00Z</cp:lastPrinted>
  <dcterms:modified xsi:type="dcterms:W3CDTF">2026-03-27T02:14:24Z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CB96463AD7554BC99759250B92688E17_13</vt:lpwstr>
  </property>
  <property fmtid="{D5CDD505-2E9C-101B-9397-08002B2CF9AE}" pid="4" name="KSOTemplateDocerSaveRecord">
    <vt:lpwstr>eyJoZGlkIjoiNTU0ZmIwYTQ3NzlmZGUxZmU3Zjk0M2IyZTNmM2IxNjAiLCJ1c2VySWQiOiI0NzE1ODkwMDUifQ==</vt:lpwstr>
  </property>
</Properties>
</file>