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CD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rPr>
        <w:t>六安市叶集区人民医院（六安市第六人民医院）医用耗材SPD供应链管理及智慧物流建设运营项目</w:t>
      </w:r>
      <w:r>
        <w:rPr>
          <w:rFonts w:hint="eastAsia" w:ascii="黑体" w:hAnsi="黑体" w:eastAsia="黑体" w:cs="黑体"/>
          <w:color w:val="auto"/>
          <w:sz w:val="44"/>
          <w:szCs w:val="44"/>
          <w:highlight w:val="none"/>
          <w:lang w:val="en-US" w:eastAsia="zh-CN"/>
        </w:rPr>
        <w:t>-</w:t>
      </w:r>
      <w:r>
        <w:rPr>
          <w:rFonts w:hint="eastAsia" w:ascii="黑体" w:hAnsi="黑体" w:eastAsia="黑体" w:cs="黑体"/>
          <w:sz w:val="40"/>
          <w:szCs w:val="40"/>
          <w:lang w:val="en-US" w:eastAsia="zh-CN"/>
        </w:rPr>
        <w:t>采购需求及评分细则</w:t>
      </w:r>
    </w:p>
    <w:p w14:paraId="0BE94FC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sz w:val="28"/>
          <w:szCs w:val="28"/>
          <w:highlight w:val="none"/>
          <w:lang w:val="en-US" w:eastAsia="zh-CN"/>
        </w:rPr>
      </w:pPr>
    </w:p>
    <w:p w14:paraId="0791554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一、项目基本情况</w:t>
      </w:r>
      <w:r>
        <w:rPr>
          <w:rFonts w:hint="eastAsia" w:ascii="宋体" w:hAnsi="宋体" w:eastAsia="宋体" w:cs="宋体"/>
          <w:b/>
          <w:bCs/>
          <w:color w:val="auto"/>
          <w:sz w:val="28"/>
          <w:szCs w:val="28"/>
          <w:highlight w:val="none"/>
          <w:lang w:val="en-US" w:eastAsia="zh-CN"/>
        </w:rPr>
        <w:br w:type="textWrapping"/>
      </w:r>
      <w:r>
        <w:rPr>
          <w:rFonts w:hint="eastAsia" w:ascii="宋体" w:hAnsi="宋体" w:eastAsia="宋体" w:cs="宋体"/>
          <w:b w:val="0"/>
          <w:bCs w:val="0"/>
          <w:color w:val="auto"/>
          <w:sz w:val="28"/>
          <w:szCs w:val="28"/>
          <w:highlight w:val="none"/>
          <w:lang w:val="en-US" w:eastAsia="zh-CN"/>
        </w:rPr>
        <w:t>1、采购方式：公开招标</w:t>
      </w:r>
      <w:r>
        <w:rPr>
          <w:rFonts w:hint="eastAsia" w:ascii="宋体" w:hAnsi="宋体" w:eastAsia="宋体" w:cs="宋体"/>
          <w:b/>
          <w:bCs/>
          <w:color w:val="auto"/>
          <w:sz w:val="28"/>
          <w:szCs w:val="28"/>
          <w:highlight w:val="none"/>
          <w:lang w:val="en-US" w:eastAsia="zh-CN"/>
        </w:rPr>
        <w:br w:type="textWrapping"/>
      </w:r>
      <w:r>
        <w:rPr>
          <w:rFonts w:hint="eastAsia" w:ascii="宋体" w:hAnsi="宋体" w:eastAsia="宋体" w:cs="宋体"/>
          <w:b w:val="0"/>
          <w:bCs w:val="0"/>
          <w:color w:val="auto"/>
          <w:sz w:val="28"/>
          <w:szCs w:val="28"/>
          <w:highlight w:val="none"/>
          <w:lang w:val="en-US" w:eastAsia="zh-CN"/>
        </w:rPr>
        <w:t>2、预算及限价金额：运营配送服务费不超过9%</w:t>
      </w:r>
    </w:p>
    <w:p w14:paraId="47C0A8B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3、合同履行期限：自项目建成并验收合格之日起，服务期限为5年(合同实行一年一签，年度考核合格后续签下一年度合同，累计续签不超过4次；如年度考核不合格，则合同终止)。</w:t>
      </w:r>
      <w:r>
        <w:rPr>
          <w:rFonts w:hint="eastAsia" w:ascii="宋体" w:hAnsi="宋体" w:eastAsia="宋体" w:cs="宋体"/>
          <w:b w:val="0"/>
          <w:bCs w:val="0"/>
          <w:color w:val="auto"/>
          <w:sz w:val="28"/>
          <w:szCs w:val="28"/>
          <w:highlight w:val="none"/>
          <w:lang w:val="en-US" w:eastAsia="zh-CN"/>
        </w:rPr>
        <w:br w:type="textWrapping"/>
      </w:r>
      <w:r>
        <w:rPr>
          <w:rFonts w:hint="eastAsia" w:ascii="宋体" w:hAnsi="宋体" w:eastAsia="宋体" w:cs="宋体"/>
          <w:b w:val="0"/>
          <w:bCs w:val="0"/>
          <w:color w:val="auto"/>
          <w:sz w:val="28"/>
          <w:szCs w:val="28"/>
          <w:highlight w:val="none"/>
          <w:lang w:val="en-US" w:eastAsia="zh-CN"/>
        </w:rPr>
        <w:t>4、是否接受联合体：本项目不接受联合体投标。</w:t>
      </w:r>
      <w:r>
        <w:rPr>
          <w:rFonts w:hint="eastAsia" w:ascii="宋体" w:hAnsi="宋体" w:eastAsia="宋体" w:cs="宋体"/>
          <w:b w:val="0"/>
          <w:bCs w:val="0"/>
          <w:color w:val="auto"/>
          <w:sz w:val="28"/>
          <w:szCs w:val="28"/>
          <w:highlight w:val="none"/>
          <w:lang w:val="en-US" w:eastAsia="zh-CN"/>
        </w:rPr>
        <w:br w:type="textWrapping"/>
      </w:r>
      <w:r>
        <w:rPr>
          <w:rFonts w:hint="eastAsia" w:ascii="宋体" w:hAnsi="宋体" w:eastAsia="宋体" w:cs="宋体"/>
          <w:b w:val="0"/>
          <w:bCs w:val="0"/>
          <w:color w:val="auto"/>
          <w:sz w:val="28"/>
          <w:szCs w:val="28"/>
          <w:highlight w:val="none"/>
          <w:lang w:val="en-US" w:eastAsia="zh-CN"/>
        </w:rPr>
        <w:t>5、申请人的资格要求</w:t>
      </w:r>
      <w:r>
        <w:rPr>
          <w:rFonts w:hint="eastAsia" w:ascii="宋体" w:hAnsi="宋体" w:eastAsia="宋体" w:cs="宋体"/>
          <w:b w:val="0"/>
          <w:bCs w:val="0"/>
          <w:color w:val="auto"/>
          <w:sz w:val="28"/>
          <w:szCs w:val="28"/>
          <w:highlight w:val="none"/>
          <w:lang w:val="en-US" w:eastAsia="zh-CN"/>
        </w:rPr>
        <w:br w:type="textWrapping"/>
      </w:r>
      <w:r>
        <w:rPr>
          <w:rFonts w:hint="eastAsia" w:ascii="宋体" w:hAnsi="宋体" w:eastAsia="宋体" w:cs="宋体"/>
          <w:b w:val="0"/>
          <w:bCs w:val="0"/>
          <w:color w:val="auto"/>
          <w:sz w:val="28"/>
          <w:szCs w:val="28"/>
          <w:highlight w:val="none"/>
          <w:lang w:val="en-US" w:eastAsia="zh-CN"/>
        </w:rPr>
        <w:t>投标人参加本次招标应当具备下列条件：</w:t>
      </w:r>
    </w:p>
    <w:p w14:paraId="5B65688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（1）具有独立承担民事责任的能力；</w:t>
      </w:r>
    </w:p>
    <w:p w14:paraId="2FFB50E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（2）具有良好的商业信誉和健全的财务会计制度；</w:t>
      </w:r>
    </w:p>
    <w:p w14:paraId="06F4FD4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（3）具有履行合同所必需的设备和专业技术能力；</w:t>
      </w:r>
    </w:p>
    <w:p w14:paraId="09F00DE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（4）有依法缴纳税收和社会保障资金的良好记录；</w:t>
      </w:r>
    </w:p>
    <w:p w14:paraId="0210480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（5）法律、行政法规规定的其他条件。</w:t>
      </w:r>
    </w:p>
    <w:p w14:paraId="6113225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val="0"/>
          <w:bCs w:val="0"/>
          <w:color w:val="auto"/>
          <w:sz w:val="28"/>
          <w:szCs w:val="28"/>
          <w:highlight w:val="none"/>
          <w:lang w:val="en-US" w:eastAsia="zh-CN"/>
        </w:rPr>
        <w:t>本项目的特定资格要求:具备相应的医疗器械经营企业许可证和备案凭证。</w:t>
      </w:r>
      <w:r>
        <w:rPr>
          <w:rFonts w:hint="eastAsia" w:ascii="宋体" w:hAnsi="宋体" w:eastAsia="宋体" w:cs="宋体"/>
          <w:b w:val="0"/>
          <w:bCs w:val="0"/>
          <w:color w:val="auto"/>
          <w:sz w:val="28"/>
          <w:szCs w:val="28"/>
          <w:highlight w:val="none"/>
          <w:lang w:val="en-US" w:eastAsia="zh-CN"/>
        </w:rPr>
        <w:br w:type="textWrapping"/>
      </w:r>
      <w:r>
        <w:rPr>
          <w:rFonts w:hint="eastAsia" w:ascii="宋体" w:hAnsi="宋体" w:eastAsia="宋体" w:cs="宋体"/>
          <w:b w:val="0"/>
          <w:bCs w:val="0"/>
          <w:color w:val="auto"/>
          <w:sz w:val="28"/>
          <w:szCs w:val="28"/>
          <w:highlight w:val="none"/>
          <w:lang w:val="en-US" w:eastAsia="zh-CN"/>
        </w:rPr>
        <w:t>6、付款方式：</w:t>
      </w:r>
      <w:bookmarkStart w:id="12" w:name="_GoBack"/>
      <w:bookmarkEnd w:id="12"/>
      <w:r>
        <w:rPr>
          <w:rFonts w:hint="eastAsia" w:ascii="宋体" w:hAnsi="宋体" w:eastAsia="宋体" w:cs="宋体"/>
          <w:b w:val="0"/>
          <w:bCs w:val="0"/>
          <w:color w:val="auto"/>
          <w:sz w:val="28"/>
          <w:szCs w:val="28"/>
          <w:highlight w:val="none"/>
          <w:lang w:val="en-US" w:eastAsia="zh-CN"/>
        </w:rPr>
        <w:t>医用物资（含耗材）采用消耗后结算模式，按月结算，定期结付。每月末，医院根据当月临床实际消耗量，与中标人统一结算并接收中标人开具的发票；中标人再根据消耗量，与各协议供应商统一结算并接收供应商开具的发票。</w:t>
      </w:r>
      <w:r>
        <w:rPr>
          <w:rFonts w:hint="eastAsia" w:ascii="宋体" w:hAnsi="宋体" w:eastAsia="宋体" w:cs="宋体"/>
          <w:b w:val="0"/>
          <w:bCs w:val="0"/>
          <w:color w:val="auto"/>
          <w:sz w:val="28"/>
          <w:szCs w:val="28"/>
          <w:highlight w:val="none"/>
          <w:lang w:val="en-US" w:eastAsia="zh-CN"/>
        </w:rPr>
        <w:br w:type="textWrapping"/>
      </w:r>
      <w:r>
        <w:rPr>
          <w:rFonts w:hint="eastAsia" w:ascii="宋体" w:hAnsi="宋体" w:eastAsia="宋体" w:cs="宋体"/>
          <w:b/>
          <w:bCs/>
          <w:color w:val="auto"/>
          <w:sz w:val="28"/>
          <w:szCs w:val="28"/>
          <w:highlight w:val="none"/>
          <w:lang w:val="en-US" w:eastAsia="zh-CN"/>
        </w:rPr>
        <w:t>二、采购需求</w:t>
      </w:r>
      <w:r>
        <w:rPr>
          <w:rFonts w:hint="eastAsia" w:ascii="宋体" w:hAnsi="宋体" w:eastAsia="宋体" w:cs="宋体"/>
          <w:b/>
          <w:bCs/>
          <w:color w:val="auto"/>
          <w:sz w:val="28"/>
          <w:szCs w:val="28"/>
          <w:highlight w:val="none"/>
          <w:lang w:val="en-US" w:eastAsia="zh-CN"/>
        </w:rPr>
        <w:br w:type="textWrapping"/>
      </w:r>
      <w:r>
        <w:rPr>
          <w:rFonts w:hint="eastAsia" w:ascii="宋体" w:hAnsi="宋体" w:eastAsia="宋体" w:cs="宋体"/>
          <w:b/>
          <w:bCs/>
          <w:snapToGrid/>
          <w:color w:val="auto"/>
          <w:kern w:val="0"/>
          <w:sz w:val="24"/>
          <w:szCs w:val="24"/>
          <w:highlight w:val="none"/>
          <w:shd w:val="clear" w:color="auto" w:fill="auto"/>
          <w:lang w:val="en-US" w:eastAsia="zh-CN" w:bidi="ar-SA"/>
        </w:rPr>
        <w:t>一、项目概况</w:t>
      </w:r>
    </w:p>
    <w:p w14:paraId="7613ACB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为进一步推动</w:t>
      </w:r>
      <w:r>
        <w:rPr>
          <w:rFonts w:hint="eastAsia" w:ascii="宋体" w:hAnsi="宋体" w:eastAsia="宋体" w:cs="宋体"/>
          <w:color w:val="auto"/>
          <w:spacing w:val="-1"/>
          <w:sz w:val="24"/>
          <w:szCs w:val="24"/>
          <w:highlight w:val="none"/>
          <w:lang w:val="en-US" w:eastAsia="zh-CN"/>
        </w:rPr>
        <w:t>叶集区</w:t>
      </w:r>
      <w:r>
        <w:rPr>
          <w:rFonts w:hint="eastAsia" w:ascii="宋体" w:hAnsi="宋体" w:eastAsia="宋体" w:cs="宋体"/>
          <w:color w:val="auto"/>
          <w:spacing w:val="-1"/>
          <w:sz w:val="24"/>
          <w:szCs w:val="24"/>
          <w:highlight w:val="none"/>
        </w:rPr>
        <w:t>“三医联动”改革，提升公立医疗机构医用物资精细化管理水平，促进公立医疗机构高质量发展。经</w:t>
      </w:r>
      <w:r>
        <w:rPr>
          <w:rFonts w:hint="eastAsia" w:ascii="宋体" w:hAnsi="宋体" w:eastAsia="宋体" w:cs="宋体"/>
          <w:color w:val="auto"/>
          <w:spacing w:val="-1"/>
          <w:sz w:val="24"/>
          <w:szCs w:val="24"/>
          <w:highlight w:val="none"/>
          <w:lang w:val="en-US" w:eastAsia="zh-CN"/>
        </w:rPr>
        <w:t>六安市叶集区人民医院</w:t>
      </w:r>
      <w:r>
        <w:rPr>
          <w:rFonts w:hint="eastAsia" w:ascii="宋体" w:hAnsi="宋体" w:eastAsia="宋体" w:cs="宋体"/>
          <w:color w:val="auto"/>
          <w:spacing w:val="-1"/>
          <w:sz w:val="24"/>
          <w:szCs w:val="24"/>
          <w:highlight w:val="none"/>
        </w:rPr>
        <w:t>决定，引入专业的医用物资集中配送商，投资建设并运营</w:t>
      </w:r>
      <w:r>
        <w:rPr>
          <w:rFonts w:hint="eastAsia" w:ascii="宋体" w:hAnsi="宋体" w:eastAsia="宋体" w:cs="宋体"/>
          <w:color w:val="auto"/>
          <w:spacing w:val="-1"/>
          <w:sz w:val="24"/>
          <w:szCs w:val="24"/>
          <w:highlight w:val="none"/>
          <w:lang w:val="en-US" w:eastAsia="zh-CN"/>
        </w:rPr>
        <w:t>六安市叶集区人民医院及管辖内六家乡镇卫生院（分别为：姚李镇卫生院、洪集镇卫生院、孙岗乡卫生院、平岗街道社区卫生服务中心、三元镇卫生院、史河街道社区卫生服务中心）所有医用耗材的集中统一配送工作和</w:t>
      </w:r>
      <w:r>
        <w:rPr>
          <w:rFonts w:hint="eastAsia" w:ascii="宋体" w:hAnsi="宋体" w:eastAsia="宋体" w:cs="宋体"/>
          <w:color w:val="auto"/>
          <w:spacing w:val="-1"/>
          <w:sz w:val="24"/>
          <w:szCs w:val="24"/>
          <w:highlight w:val="none"/>
        </w:rPr>
        <w:t>院内精细化管理运营服务</w:t>
      </w:r>
      <w:r>
        <w:rPr>
          <w:rFonts w:hint="eastAsia" w:ascii="宋体" w:hAnsi="宋体" w:eastAsia="宋体" w:cs="宋体"/>
          <w:color w:val="auto"/>
          <w:spacing w:val="-1"/>
          <w:sz w:val="24"/>
          <w:szCs w:val="24"/>
          <w:highlight w:val="none"/>
          <w:lang w:val="en-US" w:eastAsia="zh-CN"/>
        </w:rPr>
        <w:t>SPD</w:t>
      </w:r>
      <w:r>
        <w:rPr>
          <w:rFonts w:hint="eastAsia" w:ascii="宋体" w:hAnsi="宋体" w:eastAsia="宋体" w:cs="宋体"/>
          <w:color w:val="auto"/>
          <w:spacing w:val="-1"/>
          <w:sz w:val="24"/>
          <w:szCs w:val="24"/>
          <w:highlight w:val="none"/>
        </w:rPr>
        <w:t>，将</w:t>
      </w:r>
      <w:r>
        <w:rPr>
          <w:rFonts w:hint="eastAsia" w:ascii="宋体" w:hAnsi="宋体" w:eastAsia="宋体" w:cs="宋体"/>
          <w:color w:val="auto"/>
          <w:spacing w:val="-1"/>
          <w:sz w:val="24"/>
          <w:szCs w:val="24"/>
          <w:highlight w:val="none"/>
          <w:lang w:val="en-US" w:eastAsia="zh-CN"/>
        </w:rPr>
        <w:t>全院及管辖内六家乡镇卫生院</w:t>
      </w:r>
      <w:r>
        <w:rPr>
          <w:rFonts w:hint="eastAsia" w:ascii="宋体" w:hAnsi="宋体" w:eastAsia="宋体" w:cs="宋体"/>
          <w:color w:val="auto"/>
          <w:spacing w:val="-1"/>
          <w:sz w:val="24"/>
          <w:szCs w:val="24"/>
          <w:highlight w:val="none"/>
        </w:rPr>
        <w:t>医用物资的集中配送与院内精细化管理服务委托给一家专业医用物资集中配送商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即本项目中标人）</w:t>
      </w:r>
      <w:r>
        <w:rPr>
          <w:rFonts w:hint="eastAsia" w:ascii="宋体" w:hAnsi="宋体" w:eastAsia="宋体" w:cs="宋体"/>
          <w:color w:val="auto"/>
          <w:spacing w:val="-1"/>
          <w:sz w:val="24"/>
          <w:szCs w:val="24"/>
          <w:highlight w:val="none"/>
        </w:rPr>
        <w:t>。在服务期内，</w:t>
      </w:r>
      <w:r>
        <w:rPr>
          <w:rFonts w:hint="eastAsia" w:ascii="宋体" w:hAnsi="宋体" w:eastAsia="宋体" w:cs="宋体"/>
          <w:color w:val="auto"/>
          <w:spacing w:val="-1"/>
          <w:sz w:val="24"/>
          <w:szCs w:val="24"/>
          <w:highlight w:val="none"/>
          <w:lang w:val="en-US" w:eastAsia="zh-CN"/>
        </w:rPr>
        <w:t>医院</w:t>
      </w:r>
      <w:r>
        <w:rPr>
          <w:rFonts w:hint="eastAsia" w:ascii="宋体" w:hAnsi="宋体" w:eastAsia="宋体" w:cs="宋体"/>
          <w:color w:val="auto"/>
          <w:spacing w:val="-1"/>
          <w:sz w:val="24"/>
          <w:szCs w:val="24"/>
          <w:highlight w:val="none"/>
        </w:rPr>
        <w:t>原协议供应商将医用物资(含耗材)配送至集中配送商的仓储地，再由集中配送商统一按 需配送至</w:t>
      </w:r>
      <w:r>
        <w:rPr>
          <w:rFonts w:hint="eastAsia" w:ascii="宋体" w:hAnsi="宋体" w:eastAsia="宋体" w:cs="宋体"/>
          <w:color w:val="auto"/>
          <w:spacing w:val="-1"/>
          <w:sz w:val="24"/>
          <w:szCs w:val="24"/>
          <w:highlight w:val="none"/>
          <w:lang w:val="en-US" w:eastAsia="zh-CN"/>
        </w:rPr>
        <w:t>科室及六家乡镇卫生院</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color w:val="auto"/>
          <w:spacing w:val="-1"/>
          <w:sz w:val="24"/>
          <w:szCs w:val="24"/>
          <w:highlight w:val="none"/>
        </w:rPr>
        <w:t>的医用物资(含耗材)采用消耗后结算模式，即</w:t>
      </w:r>
      <w:r>
        <w:rPr>
          <w:rFonts w:hint="eastAsia" w:ascii="宋体" w:hAnsi="宋体" w:eastAsia="宋体" w:cs="宋体"/>
          <w:color w:val="auto"/>
          <w:spacing w:val="-1"/>
          <w:sz w:val="24"/>
          <w:szCs w:val="24"/>
          <w:highlight w:val="none"/>
          <w:lang w:val="en-US" w:eastAsia="zh-CN"/>
        </w:rPr>
        <w:t>医院</w:t>
      </w:r>
      <w:r>
        <w:rPr>
          <w:rFonts w:hint="eastAsia" w:ascii="宋体" w:hAnsi="宋体" w:eastAsia="宋体" w:cs="宋体"/>
          <w:color w:val="auto"/>
          <w:spacing w:val="-1"/>
          <w:sz w:val="24"/>
          <w:szCs w:val="24"/>
          <w:highlight w:val="none"/>
        </w:rPr>
        <w:t>每月末将消耗后的物资与集配商进行统一结算，再由集配商与原协议供应商进行配送结算</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集中配送商在业务结算中收取物流配送服务费。</w:t>
      </w:r>
      <w:r>
        <w:rPr>
          <w:rFonts w:hint="eastAsia" w:ascii="宋体" w:hAnsi="宋体" w:eastAsia="宋体" w:cs="宋体"/>
          <w:color w:val="auto"/>
          <w:spacing w:val="-1"/>
          <w:sz w:val="24"/>
          <w:szCs w:val="24"/>
          <w:highlight w:val="none"/>
          <w:lang w:val="en-US" w:eastAsia="zh-CN"/>
        </w:rPr>
        <w:t>全院及管辖内六家乡镇卫生院</w:t>
      </w:r>
      <w:r>
        <w:rPr>
          <w:rFonts w:hint="eastAsia" w:ascii="宋体" w:hAnsi="宋体" w:eastAsia="宋体" w:cs="宋体"/>
          <w:color w:val="auto"/>
          <w:spacing w:val="-1"/>
          <w:sz w:val="24"/>
          <w:szCs w:val="24"/>
          <w:highlight w:val="none"/>
        </w:rPr>
        <w:t>SPD平台由集中配送商负责建设与服务运营，此SPD平台为</w:t>
      </w:r>
      <w:r>
        <w:rPr>
          <w:rFonts w:hint="eastAsia" w:ascii="宋体" w:hAnsi="宋体" w:eastAsia="宋体" w:cs="宋体"/>
          <w:color w:val="auto"/>
          <w:spacing w:val="-1"/>
          <w:sz w:val="24"/>
          <w:szCs w:val="24"/>
          <w:highlight w:val="none"/>
          <w:lang w:val="en-US" w:eastAsia="zh-CN"/>
        </w:rPr>
        <w:t>六安市叶集区人民医院及管辖内六家乡镇卫生院</w:t>
      </w:r>
      <w:r>
        <w:rPr>
          <w:rFonts w:hint="eastAsia" w:ascii="宋体" w:hAnsi="宋体" w:eastAsia="宋体" w:cs="宋体"/>
          <w:color w:val="auto"/>
          <w:spacing w:val="-1"/>
          <w:sz w:val="24"/>
          <w:szCs w:val="24"/>
          <w:highlight w:val="none"/>
        </w:rPr>
        <w:t>唯一的医用物资管理与物流配送平台。</w:t>
      </w:r>
    </w:p>
    <w:p w14:paraId="6740DC8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二、服务需求</w:t>
      </w:r>
    </w:p>
    <w:p w14:paraId="1E116F8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（一）基本要求</w:t>
      </w:r>
    </w:p>
    <w:p w14:paraId="5D0E8BB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1、医用物资由中标人统一配送至各科室及六家乡镇卫生院，由投标人负责与原协议供应商统一开票结算，六安市叶集区人民医院和投标人结算。</w:t>
      </w:r>
    </w:p>
    <w:p w14:paraId="70EEBE8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中标人要为六安市叶集区人民医院提供SPD软硬件设施设备投资以及后期运营服务，能够运用新一代信息化技术与物联网技术实现医用物资全程可追溯，并为六安市叶集区人民医院提供智慧手术室物资管理建设。</w:t>
      </w:r>
    </w:p>
    <w:p w14:paraId="2FFBB38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3、中标人需统一全院医用耗材物资字典，实现全院医用物资数字编码统一，并 根据医院需求，开发医用物资大数据监管系统，平台实时跟踪带量品种配送以及医院使用情况分析。</w:t>
      </w:r>
    </w:p>
    <w:p w14:paraId="44BDF5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4、中标人需承担我院的院内中心库房改造。要求配置相应的信息及物流设施设备，确保仓库达到三级甲等医院院感要求并满足智能化模式的有效运行。</w:t>
      </w:r>
    </w:p>
    <w:p w14:paraId="44591A8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5、服务期内项目所涉及的基础设施设备、软硬件投入、维护、维修及配送人员经费由中标人负责。</w:t>
      </w:r>
    </w:p>
    <w:p w14:paraId="46604C6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6、对于新进品规，我院确定医用物资目录和采购来源后，统一交由中标人进行配送管理,并纳入SPD平台。</w:t>
      </w:r>
    </w:p>
    <w:p w14:paraId="3B40EBE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7、若原协议供应商出现物资品规无法供应的情况，中标人有义务无条件保障我院物资品规的供应，并保证物资的质量安全。</w:t>
      </w:r>
      <w:r>
        <w:rPr>
          <w:rFonts w:hint="eastAsia" w:ascii="宋体" w:hAnsi="宋体" w:eastAsia="宋体" w:cs="宋体"/>
          <w:color w:val="auto"/>
          <w:spacing w:val="-1"/>
          <w:sz w:val="24"/>
          <w:szCs w:val="24"/>
          <w:highlight w:val="none"/>
          <w:lang w:val="en-US" w:eastAsia="zh-CN"/>
        </w:rPr>
        <w:br w:type="textWrapping"/>
      </w:r>
      <w:r>
        <w:rPr>
          <w:rFonts w:hint="eastAsia" w:ascii="宋体" w:hAnsi="宋体" w:eastAsia="宋体" w:cs="宋体"/>
          <w:color w:val="auto"/>
          <w:spacing w:val="-1"/>
          <w:sz w:val="24"/>
          <w:szCs w:val="24"/>
          <w:highlight w:val="none"/>
          <w:lang w:val="en-US" w:eastAsia="zh-CN"/>
        </w:rPr>
        <w:t>8、本院原协议耗材供应商合约到期后，由本项目中标人负责相关医用耗材的供应。其供应价格应参考六安市公立医疗机构同类耗材的供货价格保持一致，或以采购人询价结果为依据进行确定。具体价格由双方协商确认后执行。</w:t>
      </w:r>
    </w:p>
    <w:p w14:paraId="55288D7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（二）项目需求</w:t>
      </w:r>
    </w:p>
    <w:p w14:paraId="15A893F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建立覆盖供应商、临床使用科室、物资管理部门及相关的财务、医保、物价部门之间一体化的供应链管理平台，实现物资从科室提出需求到采购、入库、配送出库、使用消耗的全过程管理。</w:t>
      </w:r>
    </w:p>
    <w:p w14:paraId="778202B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2、实现资质证照信息化管理，包括商品(包括注册证、备案凭证、每个批次的检验合格报告等)、企业(包括供应商、厂家、代理商等)；实现商品证照授权链管理，对过期证照有自动提醒及通知功能，对过期证照自动停用。</w:t>
      </w:r>
    </w:p>
    <w:p w14:paraId="5CA28B0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实现院内重要物资的数量或成本管控管理，实现可收费材料的流程管理与不可收费材料的成本控制，实现可收费材料的流程化管理及领用消耗的关联、对不可收费材料提供科室管理及经费使用控制等手段，从科室领用申请源头即对不可收费材料进行成本的事前控制。对管控物资进行大数据分析，智能商业报表展现，红线预警。</w:t>
      </w:r>
    </w:p>
    <w:p w14:paraId="529620A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实现医用耗材在院内全程追溯管理，实现高、低值耗材“一物一码”管理，实现高、低值耗材从采购计划发出、供应商送货、院方验收、领用使用、收费、结算等各个环节全程管理，并实现高值耗材的收费与使用病人相互关联，保障医疗安全。</w:t>
      </w:r>
    </w:p>
    <w:p w14:paraId="72D48C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5、实现高值耗材智能化管理，系统可与智能柜等设备对接应用，实现科室库存物资在无人值守下的存取管理，打造高值耗材无人值守的管理模式，节约人力并提升整体应用层次。</w:t>
      </w:r>
    </w:p>
    <w:p w14:paraId="66873DF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1"/>
          <w:sz w:val="24"/>
          <w:szCs w:val="24"/>
          <w:highlight w:val="none"/>
          <w:lang w:val="en-US" w:eastAsia="zh-CN"/>
        </w:rPr>
        <w:t>以服务临床一线为出发点对传统业务流程进行改造，实现对二级消耗点主动配送服务模式，保障二级消耗点供给安全，降低临床医护人员科室库存管理负担，解放临床医护人员，使其回归临床。</w:t>
      </w:r>
    </w:p>
    <w:p w14:paraId="0F3D332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7、实现物资采购过程的全面电子化管理，给供应商搭建院外供采平台系统，与供应商之间建立内外网互通的平台，对院内物、款、票等线上化管理，减少订单的差错率，对整个订单流程可追溯，简化工作流程，提高工作效率。</w:t>
      </w:r>
    </w:p>
    <w:p w14:paraId="0F9291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8、支持物资零资金库存管理、消耗后结算、单品种按科室及用量控制等管理，减少医院库存资金积压；通过定数补货机制实现医用物资的合理备货，保障临床使用。</w:t>
      </w:r>
    </w:p>
    <w:p w14:paraId="1EEBFC2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9、实现定数管理、库存上下限管理等新的管理模式，降低或杜绝科室医用物资的浪费。</w:t>
      </w:r>
    </w:p>
    <w:p w14:paraId="51D75F2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10、实现寄售类耗材消耗后结算的管理模式及高值耗材全流程追溯管理，包括患者追溯及上游供应商追溯，支持基于RFID技术的高值耗材智能柜集成管理。</w:t>
      </w:r>
    </w:p>
    <w:p w14:paraId="6439DCA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11、实现批号效期管理，实现医用耗材全流程环节的批号效期管理，包括近效期预警、过效期报警。</w:t>
      </w:r>
    </w:p>
    <w:p w14:paraId="663EEFF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 xml:space="preserve">12、实现数据分析应用的长效机制，全面掌控医院运营中的每一个细节。通过丰富多样、直观清晰的统计图快速掌握全院各项经营指标，为院领导提供及时正确的决策依据，也有利于提高监控管理的执行效率。通过多角度多种指标的图表分析，对科室工作量、效率和质量不同层面的剖析，以便及时调整管理方式，促进各科室高效发展，掌握自身工作效率和工作质量，有效进行工作改善。 </w:t>
      </w:r>
    </w:p>
    <w:p w14:paraId="1BB4FC3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为提升医用物资采购、运输、储存、使用的全流程管理的自动化、信息化、科学化，减少各个使用环节差错率，确保患者用耗安全，中标人需要使用与本项目相应的软硬件设备设施，并负责其使用的软硬件设备设施的维护保养，确保设备设施的有效运行。</w:t>
      </w:r>
    </w:p>
    <w:p w14:paraId="0FF8B93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、中标人保证向医疗机构提供为履行本项目建立的供应链系统软件的免费更新服务及使用权，并承诺定期每年对</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的工作人员进行培训。</w:t>
      </w:r>
    </w:p>
    <w:p w14:paraId="2B565FD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、中标人不得给予</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的任何医务人员或工作人员任何形式的利益或好处，应遵循廉洁义务。</w:t>
      </w:r>
    </w:p>
    <w:p w14:paraId="1B06421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（三）项目服务要求</w:t>
      </w:r>
    </w:p>
    <w:p w14:paraId="437773E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1、服务范围： </w:t>
      </w:r>
      <w:r>
        <w:rPr>
          <w:rFonts w:hint="eastAsia" w:ascii="宋体" w:hAnsi="宋体" w:eastAsia="宋体" w:cs="宋体"/>
          <w:color w:val="auto"/>
          <w:spacing w:val="-1"/>
          <w:sz w:val="24"/>
          <w:szCs w:val="24"/>
          <w:highlight w:val="none"/>
          <w:lang w:val="en-US" w:eastAsia="zh-CN"/>
        </w:rPr>
        <w:t>六安市叶集区人民医院及管辖内六家乡镇卫生院所有医用耗材的集中统一配送工作和</w:t>
      </w:r>
      <w:r>
        <w:rPr>
          <w:rFonts w:hint="eastAsia" w:ascii="宋体" w:hAnsi="宋体" w:eastAsia="宋体" w:cs="宋体"/>
          <w:color w:val="auto"/>
          <w:spacing w:val="-1"/>
          <w:sz w:val="24"/>
          <w:szCs w:val="24"/>
          <w:highlight w:val="none"/>
        </w:rPr>
        <w:t>院内精细化管理运营服务</w:t>
      </w:r>
      <w:r>
        <w:rPr>
          <w:rFonts w:hint="eastAsia" w:ascii="宋体" w:hAnsi="宋体" w:eastAsia="宋体" w:cs="宋体"/>
          <w:color w:val="auto"/>
          <w:spacing w:val="-1"/>
          <w:sz w:val="24"/>
          <w:szCs w:val="24"/>
          <w:highlight w:val="none"/>
          <w:lang w:val="en-US" w:eastAsia="zh-CN"/>
        </w:rPr>
        <w:t>SPD</w:t>
      </w:r>
    </w:p>
    <w:p w14:paraId="5598898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2、运营模式：</w:t>
      </w:r>
    </w:p>
    <w:p w14:paraId="3584C16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集中配送模式：公立医疗机构协议供应商将医用物资(含耗材) 配送至</w:t>
      </w:r>
      <w:r>
        <w:rPr>
          <w:rFonts w:hint="eastAsia" w:ascii="宋体" w:hAnsi="宋体" w:eastAsia="宋体" w:cs="宋体"/>
          <w:color w:val="auto"/>
          <w:spacing w:val="-1"/>
          <w:sz w:val="24"/>
          <w:szCs w:val="24"/>
          <w:highlight w:val="none"/>
          <w:lang w:val="en-US" w:eastAsia="zh-CN"/>
        </w:rPr>
        <w:t>六安市叶集区人民医院中心库</w:t>
      </w:r>
      <w:r>
        <w:rPr>
          <w:rFonts w:hint="eastAsia" w:ascii="宋体" w:hAnsi="宋体" w:eastAsia="宋体" w:cs="宋体"/>
          <w:color w:val="auto"/>
          <w:spacing w:val="-1"/>
          <w:sz w:val="24"/>
          <w:szCs w:val="24"/>
          <w:highlight w:val="none"/>
        </w:rPr>
        <w:t>，再由中标人通过SPD平台按需配送至</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各</w:t>
      </w:r>
      <w:r>
        <w:rPr>
          <w:rFonts w:hint="eastAsia" w:ascii="宋体" w:hAnsi="宋体" w:eastAsia="宋体" w:cs="宋体"/>
          <w:color w:val="auto"/>
          <w:spacing w:val="-1"/>
          <w:sz w:val="24"/>
          <w:szCs w:val="24"/>
          <w:highlight w:val="none"/>
          <w:lang w:val="en-US" w:eastAsia="zh-CN"/>
        </w:rPr>
        <w:t>科室及六家乡镇卫生院</w:t>
      </w:r>
      <w:r>
        <w:rPr>
          <w:rFonts w:hint="eastAsia" w:ascii="宋体" w:hAnsi="宋体" w:eastAsia="宋体" w:cs="宋体"/>
          <w:color w:val="auto"/>
          <w:spacing w:val="-1"/>
          <w:sz w:val="24"/>
          <w:szCs w:val="24"/>
          <w:highlight w:val="none"/>
        </w:rPr>
        <w:t>。如遇各类物资的新增品种或原供应商不能及时供应，中标人有责任保质保量及时充足保障供给。</w:t>
      </w:r>
    </w:p>
    <w:p w14:paraId="7A59634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 结算模式：医用物资（含耗材）采用消耗后结算模式，按月结算，定期结付。每月末，医院根据当月临床实际消耗量，与中标人统一结算并接收中标人开具的发票；中标人再根据消耗量，与各协议供应商统一结算并接收供应商开具的发票。</w:t>
      </w:r>
    </w:p>
    <w:p w14:paraId="2D67747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(3)服务模式：由中标人负责搭建SPD平台，实现院内物流精细化管理服务模式。</w:t>
      </w:r>
    </w:p>
    <w:p w14:paraId="1748D7A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3、按照不同管理对象(重点科室和项目)实施相应的精细化管理：</w:t>
      </w:r>
    </w:p>
    <w:p w14:paraId="57CE4D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 提供手术室精细化管理方案， 实现手术室术式耗材的追溯监管和手术室成本 分担管理。</w:t>
      </w:r>
    </w:p>
    <w:p w14:paraId="5DF2034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(2)提供骨科定制类耗材精细化管理方案，实现骨科耗材全程信息化管理。</w:t>
      </w:r>
    </w:p>
    <w:p w14:paraId="57DB56E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(3)提供内镜中心/导管室精细化管理方案，实现医用耗材全流程可视化追溯。</w:t>
      </w:r>
    </w:p>
    <w:p w14:paraId="53A4603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 提供检验试剂精细化管理方案， 实现全程条码追溯管理、效期及开瓶效期管 理等。</w:t>
      </w:r>
    </w:p>
    <w:p w14:paraId="55DE6ED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 根据</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管理需要， 提供对可收费材料精细化管理方案，实行全流程追溯监管。</w:t>
      </w:r>
    </w:p>
    <w:p w14:paraId="3591908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4、中标人要为</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构建一套最新的医疗机构物资智能化管理模式，有具体的管理办法、制度、标准流程，能够形成高效运营的管理体系，保证院内物流配送物资的及时性、准确性、安全性，确保医疗机构临床使用医疗机构物资的稳定可靠，并负责承担</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医用物资的管理及相关人员业务培训。</w:t>
      </w:r>
    </w:p>
    <w:p w14:paraId="44B6B93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需承担</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中心库物流设施设备建设费用，并配置最新的软件版本、最先进的智能硬件设备，使其能够满足智慧物流模式的有效运行(</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提供的库房大小应满足医疗机构医用物资存储需求， 具备电脑、打印机、移动PDA等系统终端设备及配套定制类货架、库内拣货车、周转箱、下送箱等物流作业工具)；</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需承担</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各级消耗点(</w:t>
      </w:r>
      <w:r>
        <w:rPr>
          <w:rFonts w:hint="eastAsia" w:ascii="宋体" w:hAnsi="宋体" w:eastAsia="宋体" w:cs="宋体"/>
          <w:color w:val="auto"/>
          <w:spacing w:val="-1"/>
          <w:sz w:val="24"/>
          <w:szCs w:val="24"/>
          <w:highlight w:val="none"/>
          <w:lang w:val="en-US" w:eastAsia="zh-CN"/>
        </w:rPr>
        <w:t>科室二级库</w:t>
      </w:r>
      <w:r>
        <w:rPr>
          <w:rFonts w:hint="eastAsia" w:ascii="宋体" w:hAnsi="宋体" w:eastAsia="宋体" w:cs="宋体"/>
          <w:color w:val="auto"/>
          <w:spacing w:val="-1"/>
          <w:sz w:val="24"/>
          <w:szCs w:val="24"/>
          <w:highlight w:val="none"/>
        </w:rPr>
        <w:t>) 的物流设施设备建设费用，使其能够满足智能化模式的有效运行。</w:t>
      </w:r>
    </w:p>
    <w:p w14:paraId="0814DF0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应具备医疗机构物资供应链运营管理服务的能力， 协助</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完成物资的计划汇总、采购订单发送、供应商赋码、验收、入库、上架、拣货、加工及推送、备货、配送等运营管理。</w:t>
      </w:r>
    </w:p>
    <w:p w14:paraId="456E7E8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7、中标人具有完善的服务质量保证体系和制度，把好服务质量关，对</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的服务质量负全责，如因院内物流管理服务不当引起质量出现问题，给医疗机构造成纠纷和经济损失及其他责任和影响的由</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全部负责解决和赔偿。</w:t>
      </w:r>
    </w:p>
    <w:p w14:paraId="27808D4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rPr>
        <w:t>、中标人要为</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搭建一套满足</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实际管理需求的医疗机构物资物流信息化管理平台，该平台能够与医疗机构的HIS等系统实现无缝连接。</w:t>
      </w:r>
    </w:p>
    <w:p w14:paraId="2DB38F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网络安全：</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需提供详细的网络安全拓扑图</w:t>
      </w:r>
    </w:p>
    <w:p w14:paraId="218085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数据安全：具备完善的数据备份机制和策略， 保证数据的安全、完整、可用。投标时需提供数据备份方案;服务商应于</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签署数据保密协议，所有涉及</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信息的发布、使用都需要</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确认，不能对医用物资进行“统方”，不得向外泄露病人隐私，若违反上述要求，一经发现，</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有权立即终止合作并上报相关监管部门，若违反相关法律法规，须承担法律责任。</w:t>
      </w:r>
    </w:p>
    <w:p w14:paraId="05CE10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系统安全：中标人负责所有服务端和终端设备和安装调试，符合安全基线要求。</w:t>
      </w:r>
    </w:p>
    <w:p w14:paraId="0F9ADD1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、平台系统支持二次开发，可按照</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的需求进行定制开发及优化，接口方面须支持与</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现有HIS、HRP及集成平台等系统进行对接。</w:t>
      </w:r>
    </w:p>
    <w:p w14:paraId="000A1A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10</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须与</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签订信息安全保密协议，承担保密义务，确保相关业务 数据的安全， 如有违反， 则要承担由此产生的全部责任， 包括法律责任、经济损失等。</w:t>
      </w:r>
    </w:p>
    <w:p w14:paraId="0F3CE48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pacing w:val="-4"/>
          <w:sz w:val="24"/>
          <w:szCs w:val="24"/>
          <w:highlight w:val="none"/>
        </w:rPr>
      </w:pPr>
      <w:r>
        <w:rPr>
          <w:rFonts w:hint="eastAsia" w:ascii="宋体" w:hAnsi="宋体" w:eastAsia="宋体" w:cs="宋体"/>
          <w:color w:val="auto"/>
          <w:spacing w:val="-1"/>
          <w:sz w:val="24"/>
          <w:szCs w:val="24"/>
          <w:highlight w:val="none"/>
          <w:lang w:val="en-US" w:eastAsia="zh-CN"/>
        </w:rPr>
        <w:t>11</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须提供专业的建设服务团队负责本项目的建设和实施，配备日常供应 管理、入库、出库、配送人员。投标时须提供完整的团队配置方案、各岗位和人员的 工作职责及操作规范。</w:t>
      </w:r>
    </w:p>
    <w:p w14:paraId="3A6B0E7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三、报价要求</w:t>
      </w:r>
    </w:p>
    <w:p w14:paraId="1FC9401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投资建设并运营六安市叶集区人民医院及管辖内六家乡镇卫生院所有医用耗材的集中统一配送工作和院内精细化管理运营服务SPD，按全</w:t>
      </w:r>
      <w:r>
        <w:rPr>
          <w:rFonts w:hint="eastAsia" w:ascii="宋体" w:hAnsi="宋体" w:eastAsia="宋体" w:cs="宋体"/>
          <w:color w:val="auto"/>
          <w:spacing w:val="-1"/>
          <w:sz w:val="24"/>
          <w:szCs w:val="24"/>
          <w:highlight w:val="none"/>
          <w:lang w:val="en-US" w:eastAsia="zh-CN"/>
        </w:rPr>
        <w:t>院</w:t>
      </w:r>
      <w:r>
        <w:rPr>
          <w:rFonts w:hint="eastAsia" w:ascii="宋体" w:hAnsi="宋体" w:eastAsia="宋体" w:cs="宋体"/>
          <w:color w:val="auto"/>
          <w:spacing w:val="-1"/>
          <w:sz w:val="24"/>
          <w:szCs w:val="24"/>
          <w:highlight w:val="none"/>
        </w:rPr>
        <w:t>医用物资每月采购金额，中标人每月向</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医用物资</w:t>
      </w:r>
      <w:r>
        <w:rPr>
          <w:rFonts w:hint="eastAsia" w:ascii="宋体" w:hAnsi="宋体" w:eastAsia="宋体" w:cs="宋体"/>
          <w:color w:val="auto"/>
          <w:spacing w:val="-1"/>
          <w:sz w:val="24"/>
          <w:szCs w:val="24"/>
          <w:highlight w:val="none"/>
          <w:lang w:val="en-US" w:eastAsia="zh-CN"/>
        </w:rPr>
        <w:t>物资</w:t>
      </w:r>
      <w:r>
        <w:rPr>
          <w:rFonts w:hint="eastAsia" w:ascii="宋体" w:hAnsi="宋体" w:eastAsia="宋体" w:cs="宋体"/>
          <w:color w:val="auto"/>
          <w:spacing w:val="-1"/>
          <w:sz w:val="24"/>
          <w:szCs w:val="24"/>
          <w:highlight w:val="none"/>
        </w:rPr>
        <w:t>供应商收取不超过月采购金额的 9 %的物流配送费。</w:t>
      </w:r>
    </w:p>
    <w:p w14:paraId="3C364C0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四、其他要求</w:t>
      </w:r>
    </w:p>
    <w:p w14:paraId="4F3EEBB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1、服务期限：自项目建成并验收合格之日起，服务期限为5年(合同实行一年一签，年度考核合格后续签下一年度合同，累计续签不超过4次；如年度考核不合格，则合同终止)。</w:t>
      </w:r>
    </w:p>
    <w:p w14:paraId="0FF4891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2、实施时间：合同签订后，原则上180天完成</w:t>
      </w:r>
      <w:r>
        <w:rPr>
          <w:rFonts w:hint="eastAsia" w:ascii="宋体" w:hAnsi="宋体" w:eastAsia="宋体" w:cs="宋体"/>
          <w:color w:val="auto"/>
          <w:spacing w:val="-1"/>
          <w:sz w:val="24"/>
          <w:szCs w:val="24"/>
          <w:highlight w:val="none"/>
          <w:lang w:val="en-US" w:eastAsia="zh-CN"/>
        </w:rPr>
        <w:t>六安市叶集区人民医院及管辖内六家乡镇卫生院</w:t>
      </w:r>
      <w:r>
        <w:rPr>
          <w:rFonts w:hint="eastAsia" w:ascii="宋体" w:hAnsi="宋体" w:eastAsia="宋体" w:cs="宋体"/>
          <w:color w:val="auto"/>
          <w:spacing w:val="-1"/>
          <w:sz w:val="24"/>
          <w:szCs w:val="24"/>
          <w:highlight w:val="none"/>
        </w:rPr>
        <w:t>院内精细化管理运营服务</w:t>
      </w:r>
      <w:r>
        <w:rPr>
          <w:rFonts w:hint="eastAsia" w:ascii="宋体" w:hAnsi="宋体" w:eastAsia="宋体" w:cs="宋体"/>
          <w:color w:val="auto"/>
          <w:spacing w:val="-1"/>
          <w:sz w:val="24"/>
          <w:szCs w:val="24"/>
          <w:highlight w:val="none"/>
          <w:lang w:val="en-US" w:eastAsia="zh-CN"/>
        </w:rPr>
        <w:t>SPD</w:t>
      </w:r>
      <w:r>
        <w:rPr>
          <w:rFonts w:hint="eastAsia" w:ascii="宋体" w:hAnsi="宋体" w:eastAsia="宋体" w:cs="宋体"/>
          <w:color w:val="auto"/>
          <w:spacing w:val="-1"/>
          <w:sz w:val="24"/>
          <w:szCs w:val="24"/>
          <w:highlight w:val="none"/>
          <w:lang w:eastAsia="zh-CN"/>
        </w:rPr>
        <w:t>。</w:t>
      </w:r>
    </w:p>
    <w:p w14:paraId="70D4641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五、项目硬件参数要求</w:t>
      </w:r>
    </w:p>
    <w:p w14:paraId="43D3742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（一）高值耗材智能管理柜技术要求</w:t>
      </w:r>
      <w:r>
        <w:rPr>
          <w:rFonts w:hint="eastAsia" w:ascii="宋体" w:hAnsi="宋体" w:eastAsia="宋体" w:cs="宋体"/>
          <w:b/>
          <w:bCs/>
          <w:snapToGrid/>
          <w:color w:val="auto"/>
          <w:kern w:val="0"/>
          <w:sz w:val="24"/>
          <w:szCs w:val="24"/>
          <w:highlight w:val="none"/>
          <w:shd w:val="clear" w:color="auto" w:fill="auto"/>
          <w:lang w:val="en-US" w:eastAsia="zh-CN" w:bidi="ar-SA"/>
        </w:rPr>
        <w:t>（采购数量按需采购）</w:t>
      </w:r>
    </w:p>
    <w:tbl>
      <w:tblPr>
        <w:tblStyle w:val="15"/>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397"/>
        <w:gridCol w:w="6330"/>
      </w:tblGrid>
      <w:tr w14:paraId="7A4F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65" w:type="pct"/>
            <w:tcBorders>
              <w:top w:val="single" w:color="auto" w:sz="4" w:space="0"/>
              <w:left w:val="single" w:color="auto" w:sz="4" w:space="0"/>
              <w:bottom w:val="single" w:color="auto" w:sz="4" w:space="0"/>
              <w:right w:val="single" w:color="auto" w:sz="4" w:space="0"/>
            </w:tcBorders>
            <w:vAlign w:val="center"/>
          </w:tcPr>
          <w:p w14:paraId="47105D18">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20" w:type="pct"/>
            <w:tcBorders>
              <w:top w:val="single" w:color="auto" w:sz="4" w:space="0"/>
              <w:left w:val="single" w:color="auto" w:sz="4" w:space="0"/>
              <w:bottom w:val="single" w:color="auto" w:sz="4" w:space="0"/>
              <w:right w:val="single" w:color="auto" w:sz="4" w:space="0"/>
            </w:tcBorders>
            <w:vAlign w:val="center"/>
          </w:tcPr>
          <w:p w14:paraId="15271115">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3715" w:type="pct"/>
            <w:tcBorders>
              <w:top w:val="single" w:color="auto" w:sz="4" w:space="0"/>
              <w:left w:val="single" w:color="auto" w:sz="4" w:space="0"/>
              <w:bottom w:val="single" w:color="auto" w:sz="4" w:space="0"/>
              <w:right w:val="single" w:color="auto" w:sz="4" w:space="0"/>
            </w:tcBorders>
            <w:vAlign w:val="center"/>
          </w:tcPr>
          <w:p w14:paraId="110E59AA">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参数要求</w:t>
            </w:r>
          </w:p>
        </w:tc>
      </w:tr>
      <w:tr w14:paraId="51DE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65" w:type="pct"/>
            <w:tcBorders>
              <w:top w:val="single" w:color="auto" w:sz="4" w:space="0"/>
              <w:left w:val="single" w:color="auto" w:sz="4" w:space="0"/>
              <w:bottom w:val="single" w:color="auto" w:sz="4" w:space="0"/>
              <w:right w:val="single" w:color="auto" w:sz="4" w:space="0"/>
            </w:tcBorders>
            <w:vAlign w:val="center"/>
          </w:tcPr>
          <w:p w14:paraId="069226E0">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0" w:type="pct"/>
            <w:tcBorders>
              <w:top w:val="single" w:color="auto" w:sz="4" w:space="0"/>
              <w:left w:val="single" w:color="auto" w:sz="4" w:space="0"/>
              <w:bottom w:val="single" w:color="auto" w:sz="4" w:space="0"/>
              <w:right w:val="single" w:color="auto" w:sz="4" w:space="0"/>
            </w:tcBorders>
            <w:vAlign w:val="center"/>
          </w:tcPr>
          <w:p w14:paraId="7615DF8A">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w:t>
            </w:r>
          </w:p>
        </w:tc>
        <w:tc>
          <w:tcPr>
            <w:tcW w:w="3715" w:type="pct"/>
            <w:tcBorders>
              <w:top w:val="single" w:color="auto" w:sz="4" w:space="0"/>
              <w:left w:val="single" w:color="auto" w:sz="4" w:space="0"/>
              <w:bottom w:val="single" w:color="auto" w:sz="4" w:space="0"/>
              <w:right w:val="single" w:color="auto" w:sz="4" w:space="0"/>
            </w:tcBorders>
            <w:vAlign w:val="center"/>
          </w:tcPr>
          <w:p w14:paraId="7C5D2002">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不小于850MM（宽）*650MM（深）*1900MM（高）。</w:t>
            </w:r>
          </w:p>
        </w:tc>
      </w:tr>
      <w:tr w14:paraId="494C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0AE420BF">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20" w:type="pct"/>
            <w:tcBorders>
              <w:top w:val="single" w:color="auto" w:sz="4" w:space="0"/>
              <w:left w:val="single" w:color="auto" w:sz="4" w:space="0"/>
              <w:bottom w:val="single" w:color="auto" w:sz="4" w:space="0"/>
              <w:right w:val="single" w:color="auto" w:sz="4" w:space="0"/>
            </w:tcBorders>
            <w:vAlign w:val="center"/>
          </w:tcPr>
          <w:p w14:paraId="1838040B">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w:t>
            </w:r>
          </w:p>
        </w:tc>
        <w:tc>
          <w:tcPr>
            <w:tcW w:w="3715" w:type="pct"/>
            <w:tcBorders>
              <w:top w:val="single" w:color="auto" w:sz="4" w:space="0"/>
              <w:left w:val="single" w:color="auto" w:sz="4" w:space="0"/>
              <w:bottom w:val="single" w:color="auto" w:sz="4" w:space="0"/>
              <w:right w:val="single" w:color="auto" w:sz="4" w:space="0"/>
            </w:tcBorders>
            <w:vAlign w:val="center"/>
          </w:tcPr>
          <w:p w14:paraId="0EEECD8F">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柜体采用优质碳素结构钢、铝合金及优质亚克力板；屏蔽门采用透明防爆钢化玻璃、钣金。</w:t>
            </w:r>
          </w:p>
        </w:tc>
      </w:tr>
      <w:tr w14:paraId="3018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1990A5D0">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20" w:type="pct"/>
            <w:tcBorders>
              <w:top w:val="single" w:color="auto" w:sz="4" w:space="0"/>
              <w:left w:val="single" w:color="auto" w:sz="4" w:space="0"/>
              <w:bottom w:val="single" w:color="auto" w:sz="4" w:space="0"/>
              <w:right w:val="single" w:color="auto" w:sz="4" w:space="0"/>
            </w:tcBorders>
            <w:vAlign w:val="center"/>
          </w:tcPr>
          <w:p w14:paraId="30E30EAD">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显示器</w:t>
            </w:r>
          </w:p>
        </w:tc>
        <w:tc>
          <w:tcPr>
            <w:tcW w:w="3715" w:type="pct"/>
            <w:tcBorders>
              <w:top w:val="single" w:color="auto" w:sz="4" w:space="0"/>
              <w:left w:val="single" w:color="auto" w:sz="4" w:space="0"/>
              <w:bottom w:val="single" w:color="auto" w:sz="4" w:space="0"/>
              <w:right w:val="single" w:color="auto" w:sz="4" w:space="0"/>
            </w:tcBorders>
            <w:vAlign w:val="center"/>
          </w:tcPr>
          <w:p w14:paraId="305C691D">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不小于15寸高清液晶触摸屏，穿戴一次性医用外科或检查手套时，不影响屏幕触控操作。</w:t>
            </w:r>
          </w:p>
        </w:tc>
      </w:tr>
      <w:tr w14:paraId="2E9E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0B293E12">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20" w:type="pct"/>
            <w:tcBorders>
              <w:top w:val="single" w:color="auto" w:sz="4" w:space="0"/>
              <w:left w:val="single" w:color="auto" w:sz="4" w:space="0"/>
              <w:bottom w:val="single" w:color="auto" w:sz="4" w:space="0"/>
              <w:right w:val="single" w:color="auto" w:sz="4" w:space="0"/>
            </w:tcBorders>
            <w:vAlign w:val="center"/>
          </w:tcPr>
          <w:p w14:paraId="02EAA91D">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▲标签容量</w:t>
            </w:r>
          </w:p>
        </w:tc>
        <w:tc>
          <w:tcPr>
            <w:tcW w:w="3715" w:type="pct"/>
            <w:tcBorders>
              <w:top w:val="single" w:color="auto" w:sz="4" w:space="0"/>
              <w:left w:val="single" w:color="auto" w:sz="4" w:space="0"/>
              <w:bottom w:val="single" w:color="auto" w:sz="4" w:space="0"/>
              <w:right w:val="single" w:color="auto" w:sz="4" w:space="0"/>
            </w:tcBorders>
            <w:vAlign w:val="center"/>
          </w:tcPr>
          <w:p w14:paraId="12856088">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单柜标签容量不小于</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00pcs。</w:t>
            </w:r>
          </w:p>
          <w:p w14:paraId="7F533A8B">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（须提供第三方检测机构出具的检验报告）</w:t>
            </w:r>
          </w:p>
        </w:tc>
      </w:tr>
      <w:tr w14:paraId="5FA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19EB0BCF">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20" w:type="pct"/>
            <w:tcBorders>
              <w:top w:val="single" w:color="auto" w:sz="4" w:space="0"/>
              <w:left w:val="single" w:color="auto" w:sz="4" w:space="0"/>
              <w:bottom w:val="single" w:color="auto" w:sz="4" w:space="0"/>
              <w:right w:val="single" w:color="auto" w:sz="4" w:space="0"/>
            </w:tcBorders>
            <w:vAlign w:val="center"/>
          </w:tcPr>
          <w:p w14:paraId="1EC7FBAE">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▲标签识别时间及准确率</w:t>
            </w:r>
          </w:p>
        </w:tc>
        <w:tc>
          <w:tcPr>
            <w:tcW w:w="3715" w:type="pct"/>
            <w:tcBorders>
              <w:top w:val="single" w:color="auto" w:sz="4" w:space="0"/>
              <w:left w:val="single" w:color="auto" w:sz="4" w:space="0"/>
              <w:bottom w:val="single" w:color="auto" w:sz="4" w:space="0"/>
              <w:right w:val="single" w:color="auto" w:sz="4" w:space="0"/>
            </w:tcBorders>
            <w:vAlign w:val="center"/>
          </w:tcPr>
          <w:p w14:paraId="04E69638">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任意放置</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00pcs标签，连续多次存取操作，读取时间≤4s，准确率≥99.9%。</w:t>
            </w:r>
          </w:p>
          <w:p w14:paraId="4AB81F28">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任意放置</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00pcs标签，连续多次存取操作，读取时间≤2s，准确率≥99.9%。</w:t>
            </w:r>
          </w:p>
          <w:p w14:paraId="5AC64BE8">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（须提供第三方检测机构出具的检验报告）</w:t>
            </w:r>
          </w:p>
        </w:tc>
      </w:tr>
      <w:tr w14:paraId="1DC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4180DE03">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20" w:type="pct"/>
            <w:tcBorders>
              <w:top w:val="single" w:color="auto" w:sz="4" w:space="0"/>
              <w:left w:val="single" w:color="auto" w:sz="4" w:space="0"/>
              <w:bottom w:val="single" w:color="auto" w:sz="4" w:space="0"/>
              <w:right w:val="single" w:color="auto" w:sz="4" w:space="0"/>
            </w:tcBorders>
            <w:vAlign w:val="center"/>
          </w:tcPr>
          <w:p w14:paraId="5ED4DDA7">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柜门屏蔽性能</w:t>
            </w:r>
          </w:p>
        </w:tc>
        <w:tc>
          <w:tcPr>
            <w:tcW w:w="3715" w:type="pct"/>
            <w:tcBorders>
              <w:top w:val="single" w:color="auto" w:sz="4" w:space="0"/>
              <w:left w:val="single" w:color="auto" w:sz="4" w:space="0"/>
              <w:bottom w:val="single" w:color="auto" w:sz="4" w:space="0"/>
              <w:right w:val="single" w:color="auto" w:sz="4" w:space="0"/>
            </w:tcBorders>
            <w:vAlign w:val="center"/>
          </w:tcPr>
          <w:p w14:paraId="644F1E4E">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柜门釆用符合GJB6190-2008的纳米屏蔽材料，屏蔽效能≥50dB；柜体处于密闭状态，在柜体外部任意放置电子标签，均不被柜体内天线识别。</w:t>
            </w:r>
          </w:p>
        </w:tc>
      </w:tr>
      <w:tr w14:paraId="0604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5C65DCFA">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20" w:type="pct"/>
            <w:tcBorders>
              <w:top w:val="single" w:color="auto" w:sz="4" w:space="0"/>
              <w:left w:val="single" w:color="auto" w:sz="4" w:space="0"/>
              <w:bottom w:val="single" w:color="auto" w:sz="4" w:space="0"/>
              <w:right w:val="single" w:color="auto" w:sz="4" w:space="0"/>
            </w:tcBorders>
            <w:vAlign w:val="center"/>
          </w:tcPr>
          <w:p w14:paraId="731992EE">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设备正常工作噪音</w:t>
            </w:r>
          </w:p>
        </w:tc>
        <w:tc>
          <w:tcPr>
            <w:tcW w:w="3715" w:type="pct"/>
            <w:tcBorders>
              <w:top w:val="single" w:color="auto" w:sz="4" w:space="0"/>
              <w:left w:val="single" w:color="auto" w:sz="4" w:space="0"/>
              <w:bottom w:val="single" w:color="auto" w:sz="4" w:space="0"/>
              <w:right w:val="single" w:color="auto" w:sz="4" w:space="0"/>
            </w:tcBorders>
            <w:vAlign w:val="center"/>
          </w:tcPr>
          <w:p w14:paraId="1B65D542">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设备正常工作时的噪声≤35dB。</w:t>
            </w:r>
          </w:p>
        </w:tc>
      </w:tr>
      <w:tr w14:paraId="2DD4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13E528C6">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20" w:type="pct"/>
            <w:tcBorders>
              <w:top w:val="single" w:color="auto" w:sz="4" w:space="0"/>
              <w:left w:val="single" w:color="auto" w:sz="4" w:space="0"/>
              <w:bottom w:val="single" w:color="auto" w:sz="4" w:space="0"/>
              <w:right w:val="single" w:color="auto" w:sz="4" w:space="0"/>
            </w:tcBorders>
            <w:vAlign w:val="center"/>
          </w:tcPr>
          <w:p w14:paraId="239E0A07">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设备外观材质</w:t>
            </w:r>
          </w:p>
        </w:tc>
        <w:tc>
          <w:tcPr>
            <w:tcW w:w="3715" w:type="pct"/>
            <w:tcBorders>
              <w:top w:val="single" w:color="auto" w:sz="4" w:space="0"/>
              <w:left w:val="single" w:color="auto" w:sz="4" w:space="0"/>
              <w:bottom w:val="single" w:color="auto" w:sz="4" w:space="0"/>
              <w:right w:val="single" w:color="auto" w:sz="4" w:space="0"/>
            </w:tcBorders>
            <w:vAlign w:val="center"/>
          </w:tcPr>
          <w:p w14:paraId="69B842E2">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设备表面涂料为光触媒纳米材料，具备抗菌耐腐蚀效果，抗菌率≥99.5%，满足</w:t>
            </w:r>
            <w:r>
              <w:rPr>
                <w:rFonts w:hint="eastAsia" w:ascii="宋体" w:hAnsi="宋体" w:eastAsia="宋体" w:cs="宋体"/>
                <w:color w:val="auto"/>
                <w:sz w:val="24"/>
                <w:szCs w:val="24"/>
                <w:highlight w:val="none"/>
                <w:lang w:eastAsia="zh-CN"/>
              </w:rPr>
              <w:t>GB/T 21866-2025</w:t>
            </w:r>
            <w:r>
              <w:rPr>
                <w:rFonts w:hint="eastAsia" w:ascii="宋体" w:hAnsi="宋体" w:eastAsia="宋体" w:cs="宋体"/>
                <w:color w:val="auto"/>
                <w:sz w:val="24"/>
                <w:szCs w:val="24"/>
                <w:highlight w:val="none"/>
              </w:rPr>
              <w:t>标准要求。</w:t>
            </w:r>
          </w:p>
        </w:tc>
      </w:tr>
      <w:tr w14:paraId="1E68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766C4DEB">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20" w:type="pct"/>
            <w:tcBorders>
              <w:top w:val="single" w:color="auto" w:sz="4" w:space="0"/>
              <w:left w:val="single" w:color="auto" w:sz="4" w:space="0"/>
              <w:bottom w:val="single" w:color="auto" w:sz="4" w:space="0"/>
              <w:right w:val="single" w:color="auto" w:sz="4" w:space="0"/>
            </w:tcBorders>
            <w:vAlign w:val="center"/>
          </w:tcPr>
          <w:p w14:paraId="00F9A454">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电气系统安全</w:t>
            </w:r>
          </w:p>
        </w:tc>
        <w:tc>
          <w:tcPr>
            <w:tcW w:w="3715" w:type="pct"/>
            <w:tcBorders>
              <w:top w:val="single" w:color="auto" w:sz="4" w:space="0"/>
              <w:left w:val="single" w:color="auto" w:sz="4" w:space="0"/>
              <w:bottom w:val="single" w:color="auto" w:sz="4" w:space="0"/>
              <w:right w:val="single" w:color="auto" w:sz="4" w:space="0"/>
            </w:tcBorders>
            <w:vAlign w:val="center"/>
          </w:tcPr>
          <w:p w14:paraId="60B8EA4F">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EMC安全测试：整柜电源控制系统适用于医疗行业。</w:t>
            </w:r>
          </w:p>
        </w:tc>
      </w:tr>
      <w:tr w14:paraId="6701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4019EE21">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20" w:type="pct"/>
            <w:tcBorders>
              <w:top w:val="single" w:color="auto" w:sz="4" w:space="0"/>
              <w:left w:val="single" w:color="auto" w:sz="4" w:space="0"/>
              <w:bottom w:val="single" w:color="auto" w:sz="4" w:space="0"/>
              <w:right w:val="single" w:color="auto" w:sz="4" w:space="0"/>
            </w:tcBorders>
            <w:vAlign w:val="center"/>
          </w:tcPr>
          <w:p w14:paraId="2884F29A">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RFID频段</w:t>
            </w:r>
          </w:p>
        </w:tc>
        <w:tc>
          <w:tcPr>
            <w:tcW w:w="3715" w:type="pct"/>
            <w:tcBorders>
              <w:top w:val="single" w:color="auto" w:sz="4" w:space="0"/>
              <w:left w:val="single" w:color="auto" w:sz="4" w:space="0"/>
              <w:bottom w:val="single" w:color="auto" w:sz="4" w:space="0"/>
              <w:right w:val="single" w:color="auto" w:sz="4" w:space="0"/>
            </w:tcBorders>
            <w:vAlign w:val="center"/>
          </w:tcPr>
          <w:p w14:paraId="580BBDA2">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超高频。</w:t>
            </w:r>
          </w:p>
        </w:tc>
      </w:tr>
      <w:tr w14:paraId="3884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74A232F7">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0" w:type="pct"/>
            <w:tcBorders>
              <w:top w:val="single" w:color="auto" w:sz="4" w:space="0"/>
              <w:left w:val="single" w:color="auto" w:sz="4" w:space="0"/>
              <w:bottom w:val="single" w:color="auto" w:sz="4" w:space="0"/>
              <w:right w:val="single" w:color="auto" w:sz="4" w:space="0"/>
            </w:tcBorders>
            <w:vAlign w:val="center"/>
          </w:tcPr>
          <w:p w14:paraId="6910B71C">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▲身份识别</w:t>
            </w:r>
          </w:p>
        </w:tc>
        <w:tc>
          <w:tcPr>
            <w:tcW w:w="3715" w:type="pct"/>
            <w:tcBorders>
              <w:top w:val="single" w:color="auto" w:sz="4" w:space="0"/>
              <w:left w:val="single" w:color="auto" w:sz="4" w:space="0"/>
              <w:bottom w:val="single" w:color="auto" w:sz="4" w:space="0"/>
              <w:right w:val="single" w:color="auto" w:sz="4" w:space="0"/>
            </w:tcBorders>
            <w:vAlign w:val="center"/>
          </w:tcPr>
          <w:p w14:paraId="693C1E7E">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支持IC卡、指静脉、人脸识别（须提供相应的实景照片证明材料）。</w:t>
            </w:r>
          </w:p>
        </w:tc>
      </w:tr>
      <w:tr w14:paraId="229B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7429581E">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0" w:type="pct"/>
            <w:tcBorders>
              <w:top w:val="single" w:color="auto" w:sz="4" w:space="0"/>
              <w:left w:val="single" w:color="auto" w:sz="4" w:space="0"/>
              <w:bottom w:val="single" w:color="auto" w:sz="4" w:space="0"/>
              <w:right w:val="single" w:color="auto" w:sz="4" w:space="0"/>
            </w:tcBorders>
            <w:vAlign w:val="center"/>
          </w:tcPr>
          <w:p w14:paraId="579C7656">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▲一体化配置</w:t>
            </w:r>
          </w:p>
        </w:tc>
        <w:tc>
          <w:tcPr>
            <w:tcW w:w="3715" w:type="pct"/>
            <w:tcBorders>
              <w:top w:val="single" w:color="auto" w:sz="4" w:space="0"/>
              <w:left w:val="single" w:color="auto" w:sz="4" w:space="0"/>
              <w:bottom w:val="single" w:color="auto" w:sz="4" w:space="0"/>
              <w:right w:val="single" w:color="auto" w:sz="4" w:space="0"/>
            </w:tcBorders>
            <w:vAlign w:val="center"/>
          </w:tcPr>
          <w:p w14:paraId="50EACEB9">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主柜要求显示设备与柜门嵌入式集成，无单独显示区域浪费存储空间（须提供产品实物照片）。</w:t>
            </w:r>
          </w:p>
        </w:tc>
      </w:tr>
      <w:tr w14:paraId="4A22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23F6D3D5">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20" w:type="pct"/>
            <w:tcBorders>
              <w:top w:val="single" w:color="auto" w:sz="4" w:space="0"/>
              <w:left w:val="single" w:color="auto" w:sz="4" w:space="0"/>
              <w:bottom w:val="single" w:color="auto" w:sz="4" w:space="0"/>
              <w:right w:val="single" w:color="auto" w:sz="4" w:space="0"/>
            </w:tcBorders>
            <w:vAlign w:val="center"/>
          </w:tcPr>
          <w:p w14:paraId="62D4767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标准接口</w:t>
            </w:r>
          </w:p>
        </w:tc>
        <w:tc>
          <w:tcPr>
            <w:tcW w:w="3715" w:type="pct"/>
            <w:tcBorders>
              <w:top w:val="single" w:color="auto" w:sz="4" w:space="0"/>
              <w:left w:val="single" w:color="auto" w:sz="4" w:space="0"/>
              <w:bottom w:val="single" w:color="auto" w:sz="4" w:space="0"/>
              <w:right w:val="single" w:color="auto" w:sz="4" w:space="0"/>
            </w:tcBorders>
            <w:vAlign w:val="center"/>
          </w:tcPr>
          <w:p w14:paraId="05411048">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个标准USB接口，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个RJ45网口。</w:t>
            </w:r>
          </w:p>
        </w:tc>
      </w:tr>
      <w:tr w14:paraId="174C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7F6569CE">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0" w:type="pct"/>
            <w:tcBorders>
              <w:top w:val="single" w:color="auto" w:sz="4" w:space="0"/>
              <w:left w:val="single" w:color="auto" w:sz="4" w:space="0"/>
              <w:bottom w:val="single" w:color="auto" w:sz="4" w:space="0"/>
              <w:right w:val="single" w:color="auto" w:sz="4" w:space="0"/>
            </w:tcBorders>
            <w:vAlign w:val="center"/>
          </w:tcPr>
          <w:p w14:paraId="5BF40BA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存储空间</w:t>
            </w:r>
          </w:p>
        </w:tc>
        <w:tc>
          <w:tcPr>
            <w:tcW w:w="3715" w:type="pct"/>
            <w:tcBorders>
              <w:top w:val="single" w:color="auto" w:sz="4" w:space="0"/>
              <w:left w:val="single" w:color="auto" w:sz="4" w:space="0"/>
              <w:bottom w:val="single" w:color="auto" w:sz="4" w:space="0"/>
              <w:right w:val="single" w:color="auto" w:sz="4" w:space="0"/>
            </w:tcBorders>
            <w:vAlign w:val="center"/>
          </w:tcPr>
          <w:p w14:paraId="7564640C">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不小于700L，要求每个智能柜均可独立，不允许有智能柜配套的电脑柜。</w:t>
            </w:r>
          </w:p>
        </w:tc>
      </w:tr>
      <w:tr w14:paraId="5D57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462E3B80">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20" w:type="pct"/>
            <w:tcBorders>
              <w:top w:val="single" w:color="auto" w:sz="4" w:space="0"/>
              <w:left w:val="single" w:color="auto" w:sz="4" w:space="0"/>
              <w:bottom w:val="single" w:color="auto" w:sz="4" w:space="0"/>
              <w:right w:val="single" w:color="auto" w:sz="4" w:space="0"/>
            </w:tcBorders>
            <w:vAlign w:val="center"/>
          </w:tcPr>
          <w:p w14:paraId="301FE8E9">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摄像头</w:t>
            </w:r>
          </w:p>
        </w:tc>
        <w:tc>
          <w:tcPr>
            <w:tcW w:w="3715" w:type="pct"/>
            <w:tcBorders>
              <w:top w:val="single" w:color="auto" w:sz="4" w:space="0"/>
              <w:left w:val="single" w:color="auto" w:sz="4" w:space="0"/>
              <w:bottom w:val="single" w:color="auto" w:sz="4" w:space="0"/>
              <w:right w:val="single" w:color="auto" w:sz="4" w:space="0"/>
            </w:tcBorders>
            <w:vAlign w:val="center"/>
          </w:tcPr>
          <w:p w14:paraId="5CB476D8">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集成高清摄像头，可实时监控耗材的每次存取，存取具备拍照留存，按时间进行命名和排序，方便异常数据的查询和追溯。</w:t>
            </w:r>
          </w:p>
        </w:tc>
      </w:tr>
      <w:tr w14:paraId="7FC5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2680C7FE">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20" w:type="pct"/>
            <w:tcBorders>
              <w:top w:val="single" w:color="auto" w:sz="4" w:space="0"/>
              <w:left w:val="single" w:color="auto" w:sz="4" w:space="0"/>
              <w:bottom w:val="single" w:color="auto" w:sz="4" w:space="0"/>
              <w:right w:val="single" w:color="auto" w:sz="4" w:space="0"/>
            </w:tcBorders>
            <w:vAlign w:val="center"/>
          </w:tcPr>
          <w:p w14:paraId="56754395">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▲存储隔断</w:t>
            </w:r>
          </w:p>
        </w:tc>
        <w:tc>
          <w:tcPr>
            <w:tcW w:w="3715" w:type="pct"/>
            <w:tcBorders>
              <w:top w:val="single" w:color="auto" w:sz="4" w:space="0"/>
              <w:left w:val="single" w:color="auto" w:sz="4" w:space="0"/>
              <w:bottom w:val="single" w:color="auto" w:sz="4" w:space="0"/>
              <w:right w:val="single" w:color="auto" w:sz="4" w:space="0"/>
            </w:tcBorders>
            <w:vAlign w:val="center"/>
          </w:tcPr>
          <w:p w14:paraId="4029EF1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针对不同科室需求，提供不少于3种的可调节层板、不少于6种的耗材存储支架（如缝线支架、止血纱布支架、眼科支架等）。（须提供以上层板和支架的实物照片）</w:t>
            </w:r>
          </w:p>
        </w:tc>
      </w:tr>
      <w:tr w14:paraId="1397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10403672">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20" w:type="pct"/>
            <w:tcBorders>
              <w:top w:val="single" w:color="auto" w:sz="4" w:space="0"/>
              <w:left w:val="single" w:color="auto" w:sz="4" w:space="0"/>
              <w:bottom w:val="single" w:color="auto" w:sz="4" w:space="0"/>
              <w:right w:val="single" w:color="auto" w:sz="4" w:space="0"/>
            </w:tcBorders>
            <w:vAlign w:val="center"/>
          </w:tcPr>
          <w:p w14:paraId="4AE6982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货位标签</w:t>
            </w:r>
          </w:p>
        </w:tc>
        <w:tc>
          <w:tcPr>
            <w:tcW w:w="3715" w:type="pct"/>
            <w:tcBorders>
              <w:top w:val="single" w:color="auto" w:sz="4" w:space="0"/>
              <w:left w:val="single" w:color="auto" w:sz="4" w:space="0"/>
              <w:bottom w:val="single" w:color="auto" w:sz="4" w:space="0"/>
              <w:right w:val="single" w:color="auto" w:sz="4" w:space="0"/>
            </w:tcBorders>
            <w:vAlign w:val="center"/>
          </w:tcPr>
          <w:p w14:paraId="4928454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隔层抽屉自带货位标签卡槽。（须提供抽屉实物照片）</w:t>
            </w:r>
          </w:p>
        </w:tc>
      </w:tr>
      <w:tr w14:paraId="6C59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34BC35AE">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20" w:type="pct"/>
            <w:tcBorders>
              <w:top w:val="single" w:color="auto" w:sz="4" w:space="0"/>
              <w:left w:val="single" w:color="auto" w:sz="4" w:space="0"/>
              <w:bottom w:val="single" w:color="auto" w:sz="4" w:space="0"/>
              <w:right w:val="single" w:color="auto" w:sz="4" w:space="0"/>
            </w:tcBorders>
            <w:vAlign w:val="center"/>
          </w:tcPr>
          <w:p w14:paraId="3F2E9DB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柜门</w:t>
            </w:r>
          </w:p>
        </w:tc>
        <w:tc>
          <w:tcPr>
            <w:tcW w:w="3715" w:type="pct"/>
            <w:tcBorders>
              <w:top w:val="single" w:color="auto" w:sz="4" w:space="0"/>
              <w:left w:val="single" w:color="auto" w:sz="4" w:space="0"/>
              <w:bottom w:val="single" w:color="auto" w:sz="4" w:space="0"/>
              <w:right w:val="single" w:color="auto" w:sz="4" w:space="0"/>
            </w:tcBorders>
            <w:vAlign w:val="center"/>
          </w:tcPr>
          <w:p w14:paraId="0DD093A2">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要求透明屏蔽柜门，钢化玻璃材质，耗材库存情况直观可视化。</w:t>
            </w:r>
          </w:p>
        </w:tc>
      </w:tr>
      <w:tr w14:paraId="3385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26FAB6CE">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20" w:type="pct"/>
            <w:tcBorders>
              <w:top w:val="single" w:color="auto" w:sz="4" w:space="0"/>
              <w:left w:val="single" w:color="auto" w:sz="4" w:space="0"/>
              <w:bottom w:val="single" w:color="auto" w:sz="4" w:space="0"/>
              <w:right w:val="single" w:color="auto" w:sz="4" w:space="0"/>
            </w:tcBorders>
            <w:vAlign w:val="center"/>
          </w:tcPr>
          <w:p w14:paraId="769994C5">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柜内照明</w:t>
            </w:r>
          </w:p>
        </w:tc>
        <w:tc>
          <w:tcPr>
            <w:tcW w:w="3715" w:type="pct"/>
            <w:tcBorders>
              <w:top w:val="single" w:color="auto" w:sz="4" w:space="0"/>
              <w:left w:val="single" w:color="auto" w:sz="4" w:space="0"/>
              <w:bottom w:val="single" w:color="auto" w:sz="4" w:space="0"/>
              <w:right w:val="single" w:color="auto" w:sz="4" w:space="0"/>
            </w:tcBorders>
            <w:vAlign w:val="center"/>
          </w:tcPr>
          <w:p w14:paraId="0F40BC1D">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要求柜内冷光源照明，人体靠近时自动触发柜内照明。</w:t>
            </w:r>
          </w:p>
        </w:tc>
      </w:tr>
      <w:tr w14:paraId="4539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492A365B">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20" w:type="pct"/>
            <w:tcBorders>
              <w:top w:val="single" w:color="auto" w:sz="4" w:space="0"/>
              <w:left w:val="single" w:color="auto" w:sz="4" w:space="0"/>
              <w:bottom w:val="single" w:color="auto" w:sz="4" w:space="0"/>
              <w:right w:val="single" w:color="auto" w:sz="4" w:space="0"/>
            </w:tcBorders>
            <w:vAlign w:val="center"/>
          </w:tcPr>
          <w:p w14:paraId="30BA16E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温湿度监控</w:t>
            </w:r>
          </w:p>
        </w:tc>
        <w:tc>
          <w:tcPr>
            <w:tcW w:w="3715" w:type="pct"/>
            <w:tcBorders>
              <w:top w:val="single" w:color="auto" w:sz="4" w:space="0"/>
              <w:left w:val="single" w:color="auto" w:sz="4" w:space="0"/>
              <w:bottom w:val="single" w:color="auto" w:sz="4" w:space="0"/>
              <w:right w:val="single" w:color="auto" w:sz="4" w:space="0"/>
            </w:tcBorders>
            <w:vAlign w:val="center"/>
          </w:tcPr>
          <w:p w14:paraId="0489F077">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要求具备柜内温湿度监控，记录并监测柜子内温湿度变化，可设置温湿度监控范围，柜内温湿度超出设定范围，系统自动报警。</w:t>
            </w:r>
          </w:p>
        </w:tc>
      </w:tr>
      <w:tr w14:paraId="692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65" w:type="pct"/>
            <w:tcBorders>
              <w:top w:val="single" w:color="auto" w:sz="4" w:space="0"/>
              <w:left w:val="single" w:color="auto" w:sz="4" w:space="0"/>
              <w:bottom w:val="single" w:color="auto" w:sz="4" w:space="0"/>
              <w:right w:val="single" w:color="auto" w:sz="4" w:space="0"/>
            </w:tcBorders>
            <w:vAlign w:val="center"/>
          </w:tcPr>
          <w:p w14:paraId="43F119DA">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20" w:type="pct"/>
            <w:tcBorders>
              <w:top w:val="single" w:color="auto" w:sz="4" w:space="0"/>
              <w:left w:val="single" w:color="auto" w:sz="4" w:space="0"/>
              <w:bottom w:val="single" w:color="auto" w:sz="4" w:space="0"/>
              <w:right w:val="single" w:color="auto" w:sz="4" w:space="0"/>
            </w:tcBorders>
            <w:vAlign w:val="center"/>
          </w:tcPr>
          <w:p w14:paraId="67728149">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▲可移动性</w:t>
            </w:r>
          </w:p>
        </w:tc>
        <w:tc>
          <w:tcPr>
            <w:tcW w:w="3715" w:type="pct"/>
            <w:tcBorders>
              <w:top w:val="single" w:color="auto" w:sz="4" w:space="0"/>
              <w:left w:val="single" w:color="auto" w:sz="4" w:space="0"/>
              <w:bottom w:val="single" w:color="auto" w:sz="4" w:space="0"/>
              <w:right w:val="single" w:color="auto" w:sz="4" w:space="0"/>
            </w:tcBorders>
            <w:vAlign w:val="center"/>
          </w:tcPr>
          <w:p w14:paraId="576FAC8C">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要求柜体自带万向轮，操作人员可在无工具辅助情况下任意摆放智能柜。（须提供实物照片）</w:t>
            </w:r>
          </w:p>
        </w:tc>
      </w:tr>
      <w:tr w14:paraId="30E3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65" w:type="pct"/>
            <w:tcBorders>
              <w:top w:val="single" w:color="auto" w:sz="4" w:space="0"/>
              <w:left w:val="single" w:color="auto" w:sz="4" w:space="0"/>
              <w:bottom w:val="single" w:color="auto" w:sz="4" w:space="0"/>
              <w:right w:val="single" w:color="auto" w:sz="4" w:space="0"/>
            </w:tcBorders>
            <w:vAlign w:val="center"/>
          </w:tcPr>
          <w:p w14:paraId="46CA77C7">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0" w:type="pct"/>
            <w:tcBorders>
              <w:top w:val="single" w:color="auto" w:sz="4" w:space="0"/>
              <w:left w:val="single" w:color="auto" w:sz="4" w:space="0"/>
              <w:bottom w:val="single" w:color="auto" w:sz="4" w:space="0"/>
              <w:right w:val="single" w:color="auto" w:sz="4" w:space="0"/>
            </w:tcBorders>
            <w:vAlign w:val="center"/>
          </w:tcPr>
          <w:p w14:paraId="1D2574D7">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消毒模组</w:t>
            </w:r>
          </w:p>
        </w:tc>
        <w:tc>
          <w:tcPr>
            <w:tcW w:w="3715" w:type="pct"/>
            <w:tcBorders>
              <w:top w:val="single" w:color="auto" w:sz="4" w:space="0"/>
              <w:left w:val="single" w:color="auto" w:sz="4" w:space="0"/>
              <w:bottom w:val="single" w:color="auto" w:sz="4" w:space="0"/>
              <w:right w:val="single" w:color="auto" w:sz="4" w:space="0"/>
            </w:tcBorders>
            <w:vAlign w:val="center"/>
          </w:tcPr>
          <w:p w14:paraId="66FCA26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配备紫外消毒模组，该模组符合国家消毒技术规范。</w:t>
            </w:r>
          </w:p>
        </w:tc>
      </w:tr>
      <w:tr w14:paraId="6D16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65" w:type="pct"/>
            <w:tcBorders>
              <w:top w:val="single" w:color="auto" w:sz="4" w:space="0"/>
              <w:left w:val="single" w:color="auto" w:sz="4" w:space="0"/>
              <w:bottom w:val="single" w:color="auto" w:sz="4" w:space="0"/>
              <w:right w:val="single" w:color="auto" w:sz="4" w:space="0"/>
            </w:tcBorders>
            <w:vAlign w:val="center"/>
          </w:tcPr>
          <w:p w14:paraId="0046BA47">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820" w:type="pct"/>
            <w:tcBorders>
              <w:top w:val="single" w:color="auto" w:sz="4" w:space="0"/>
              <w:left w:val="single" w:color="auto" w:sz="4" w:space="0"/>
              <w:bottom w:val="single" w:color="auto" w:sz="4" w:space="0"/>
              <w:right w:val="single" w:color="auto" w:sz="4" w:space="0"/>
            </w:tcBorders>
            <w:vAlign w:val="center"/>
          </w:tcPr>
          <w:p w14:paraId="5591A826">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紧急开锁</w:t>
            </w:r>
          </w:p>
        </w:tc>
        <w:tc>
          <w:tcPr>
            <w:tcW w:w="3715" w:type="pct"/>
            <w:tcBorders>
              <w:top w:val="single" w:color="auto" w:sz="4" w:space="0"/>
              <w:left w:val="single" w:color="auto" w:sz="4" w:space="0"/>
              <w:bottom w:val="single" w:color="auto" w:sz="4" w:space="0"/>
              <w:right w:val="single" w:color="auto" w:sz="4" w:space="0"/>
            </w:tcBorders>
            <w:vAlign w:val="center"/>
          </w:tcPr>
          <w:p w14:paraId="2DFCDAF3">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要求断电、断网锁门状态保持，要求具备紧急开锁功能。</w:t>
            </w:r>
          </w:p>
        </w:tc>
      </w:tr>
      <w:tr w14:paraId="3BC5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7005BA33">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24</w:t>
            </w:r>
          </w:p>
        </w:tc>
        <w:tc>
          <w:tcPr>
            <w:tcW w:w="1579" w:type="dxa"/>
            <w:vMerge w:val="restart"/>
            <w:tcBorders>
              <w:top w:val="single" w:color="auto" w:sz="4" w:space="0"/>
              <w:left w:val="single" w:color="auto" w:sz="4" w:space="0"/>
              <w:bottom w:val="single" w:color="auto" w:sz="4" w:space="0"/>
              <w:right w:val="single" w:color="auto" w:sz="4" w:space="0"/>
            </w:tcBorders>
            <w:vAlign w:val="center"/>
          </w:tcPr>
          <w:p w14:paraId="3F222563">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软件要求</w:t>
            </w:r>
          </w:p>
        </w:tc>
        <w:tc>
          <w:tcPr>
            <w:tcW w:w="7151" w:type="dxa"/>
            <w:tcBorders>
              <w:top w:val="single" w:color="auto" w:sz="4" w:space="0"/>
              <w:left w:val="single" w:color="auto" w:sz="4" w:space="0"/>
              <w:bottom w:val="single" w:color="auto" w:sz="4" w:space="0"/>
              <w:right w:val="single" w:color="auto" w:sz="4" w:space="0"/>
            </w:tcBorders>
            <w:vAlign w:val="top"/>
          </w:tcPr>
          <w:p w14:paraId="505E2615">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高值耗材柜入库：所有唯一码（RFID）管理耗材必须经过SPD系统入库，完成赋码、打码、贴码，并出库至对应科室二级库。可直接配送至高值耗材柜，便于临床取用。</w:t>
            </w:r>
          </w:p>
        </w:tc>
      </w:tr>
      <w:tr w14:paraId="06CF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0181B2C">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2F448F6">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287D585F">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高值耗材柜领取：高值耗材柜验证医护人员身份信息；领取耗材之后，关上柜门，耗材柜自动进行盘点，读取领取的耗材品规、数量；高值耗材柜触摸屏会显示领取的耗材清单并自动记录。</w:t>
            </w:r>
          </w:p>
        </w:tc>
      </w:tr>
      <w:tr w14:paraId="4DB5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52783A9">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70557A76">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04A0124E">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补货入库和退库管理：高值耗材放入到高值耗材柜之后，自动生成入库耗材清单，核对无误后可确认入库。领取后未使用的耗材再次放入高值耗材柜，自动读取生成耗材清单，核对无误后可确认退库。</w:t>
            </w:r>
          </w:p>
        </w:tc>
      </w:tr>
      <w:tr w14:paraId="4BEE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457F6F9E">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1DA26ABC">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3D0B2FBD">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异人异柜归还：高值耗材柜可以实现24小时异人异柜归还功能。利用RFID超高频群读技术快速读取标签，高值耗材柜在不同柜体之间实现关门后读取全部货品，使SPD系统轻松掌握在不同柜体内存储的所有耗材信息。</w:t>
            </w:r>
          </w:p>
        </w:tc>
      </w:tr>
      <w:tr w14:paraId="79C8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3F72F2BD">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6A748354">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539152B6">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实时盘点：可实现在高值柜耗材实时盘点，实时监控柜内的耗材数量。</w:t>
            </w:r>
          </w:p>
        </w:tc>
      </w:tr>
      <w:tr w14:paraId="5691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2D734C46">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082518EB">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10B54E97">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智能补货：耗材低于安全库存，实时自动预警生成补货订单。</w:t>
            </w:r>
          </w:p>
        </w:tc>
      </w:tr>
      <w:tr w14:paraId="3422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4CFAB6CD">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3768D3F5">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27B7DA36">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离柜未消耗提示：耗材领用离柜而未消耗逾48小时，进行提示。</w:t>
            </w:r>
          </w:p>
        </w:tc>
      </w:tr>
      <w:tr w14:paraId="2ECF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44279B2B">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F0A2BC2">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0AD41CF6">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库存管理：用于查询当前智能柜的库存信息和操作信息记录，包括目录查询，全部库存，入库查询，出库查询。</w:t>
            </w:r>
          </w:p>
        </w:tc>
      </w:tr>
      <w:tr w14:paraId="4BEA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6256CB44">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14:paraId="5401A4D3">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p>
        </w:tc>
        <w:tc>
          <w:tcPr>
            <w:tcW w:w="7151" w:type="dxa"/>
            <w:tcBorders>
              <w:top w:val="single" w:color="auto" w:sz="4" w:space="0"/>
              <w:left w:val="single" w:color="auto" w:sz="4" w:space="0"/>
              <w:bottom w:val="single" w:color="auto" w:sz="4" w:space="0"/>
              <w:right w:val="single" w:color="auto" w:sz="4" w:space="0"/>
            </w:tcBorders>
            <w:vAlign w:val="top"/>
          </w:tcPr>
          <w:p w14:paraId="75F0D32F">
            <w:pPr>
              <w:pStyle w:val="24"/>
              <w:keepNext w:val="0"/>
              <w:keepLines w:val="0"/>
              <w:pageBreakBefore w:val="0"/>
              <w:kinsoku w:val="0"/>
              <w:wordWrap/>
              <w:overflowPunct/>
              <w:topLinePunct w:val="0"/>
              <w:autoSpaceDE w:val="0"/>
              <w:autoSpaceDN w:val="0"/>
              <w:bidi w:val="0"/>
              <w:adjustRightInd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权限管理：对分配的账户进行绑卡和指静脉等登记操作，点击修改或点击录入信息可修改用户在当前高值耗材柜中绑定的卡片和指静脉等信息。</w:t>
            </w:r>
          </w:p>
        </w:tc>
      </w:tr>
    </w:tbl>
    <w:p w14:paraId="15B1AC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（二）SPD手持终端技术要求</w:t>
      </w:r>
      <w:r>
        <w:rPr>
          <w:rFonts w:hint="eastAsia" w:ascii="宋体" w:hAnsi="宋体" w:eastAsia="宋体" w:cs="宋体"/>
          <w:b/>
          <w:bCs/>
          <w:snapToGrid/>
          <w:color w:val="auto"/>
          <w:kern w:val="0"/>
          <w:sz w:val="24"/>
          <w:szCs w:val="24"/>
          <w:highlight w:val="none"/>
          <w:shd w:val="clear" w:color="auto" w:fill="auto"/>
          <w:lang w:val="en-US" w:eastAsia="zh-CN" w:bidi="ar-SA"/>
        </w:rPr>
        <w:t>（采购数量按需采购）</w:t>
      </w:r>
    </w:p>
    <w:tbl>
      <w:tblPr>
        <w:tblStyle w:val="15"/>
        <w:tblW w:w="4719" w:type="pct"/>
        <w:jc w:val="center"/>
        <w:tblLayout w:type="autofit"/>
        <w:tblCellMar>
          <w:top w:w="0" w:type="dxa"/>
          <w:left w:w="108" w:type="dxa"/>
          <w:bottom w:w="0" w:type="dxa"/>
          <w:right w:w="108" w:type="dxa"/>
        </w:tblCellMar>
      </w:tblPr>
      <w:tblGrid>
        <w:gridCol w:w="703"/>
        <w:gridCol w:w="2255"/>
        <w:gridCol w:w="5085"/>
      </w:tblGrid>
      <w:tr w14:paraId="6C7479B9">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4C069D">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02" w:type="pct"/>
            <w:tcBorders>
              <w:top w:val="single" w:color="000000" w:sz="4" w:space="0"/>
              <w:left w:val="single" w:color="000000" w:sz="4" w:space="0"/>
              <w:bottom w:val="single" w:color="000000" w:sz="4" w:space="0"/>
              <w:right w:val="single" w:color="000000" w:sz="4" w:space="0"/>
            </w:tcBorders>
            <w:vAlign w:val="center"/>
          </w:tcPr>
          <w:p w14:paraId="46AB3389">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3161" w:type="pct"/>
            <w:tcBorders>
              <w:top w:val="single" w:color="000000" w:sz="4" w:space="0"/>
              <w:left w:val="single" w:color="000000" w:sz="4" w:space="0"/>
              <w:bottom w:val="single" w:color="000000" w:sz="4" w:space="0"/>
              <w:right w:val="single" w:color="000000" w:sz="4" w:space="0"/>
            </w:tcBorders>
            <w:vAlign w:val="center"/>
          </w:tcPr>
          <w:p w14:paraId="363D9E47">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参数要求</w:t>
            </w:r>
          </w:p>
        </w:tc>
      </w:tr>
      <w:tr w14:paraId="05098071">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632418BC">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02" w:type="pct"/>
            <w:tcBorders>
              <w:top w:val="single" w:color="000000" w:sz="4" w:space="0"/>
              <w:left w:val="single" w:color="000000" w:sz="4" w:space="0"/>
              <w:bottom w:val="single" w:color="000000" w:sz="4" w:space="0"/>
              <w:right w:val="single" w:color="000000" w:sz="4" w:space="0"/>
            </w:tcBorders>
            <w:vAlign w:val="center"/>
          </w:tcPr>
          <w:p w14:paraId="07639563">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w:t>
            </w:r>
          </w:p>
        </w:tc>
        <w:tc>
          <w:tcPr>
            <w:tcW w:w="3161" w:type="pct"/>
            <w:tcBorders>
              <w:top w:val="single" w:color="000000" w:sz="4" w:space="0"/>
              <w:left w:val="single" w:color="000000" w:sz="4" w:space="0"/>
              <w:bottom w:val="single" w:color="000000" w:sz="4" w:space="0"/>
              <w:right w:val="single" w:color="000000" w:sz="4" w:space="0"/>
            </w:tcBorders>
            <w:vAlign w:val="center"/>
          </w:tcPr>
          <w:p w14:paraId="53D796A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不大于200mm(长）*100mm（宽）*25mm（厚）</w:t>
            </w:r>
          </w:p>
        </w:tc>
      </w:tr>
      <w:tr w14:paraId="514CEC16">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5573DA46">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02" w:type="pct"/>
            <w:tcBorders>
              <w:top w:val="single" w:color="000000" w:sz="4" w:space="0"/>
              <w:left w:val="single" w:color="000000" w:sz="4" w:space="0"/>
              <w:bottom w:val="single" w:color="000000" w:sz="4" w:space="0"/>
              <w:right w:val="single" w:color="000000" w:sz="4" w:space="0"/>
            </w:tcBorders>
            <w:vAlign w:val="center"/>
          </w:tcPr>
          <w:p w14:paraId="376201B6">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重量</w:t>
            </w:r>
          </w:p>
        </w:tc>
        <w:tc>
          <w:tcPr>
            <w:tcW w:w="3161" w:type="pct"/>
            <w:tcBorders>
              <w:top w:val="single" w:color="000000" w:sz="4" w:space="0"/>
              <w:left w:val="single" w:color="000000" w:sz="4" w:space="0"/>
              <w:bottom w:val="single" w:color="000000" w:sz="4" w:space="0"/>
              <w:right w:val="single" w:color="000000" w:sz="4" w:space="0"/>
            </w:tcBorders>
            <w:vAlign w:val="center"/>
          </w:tcPr>
          <w:p w14:paraId="0020D12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不高于300克</w:t>
            </w:r>
          </w:p>
        </w:tc>
      </w:tr>
      <w:tr w14:paraId="4EC68CF4">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64A697E5">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02" w:type="pct"/>
            <w:tcBorders>
              <w:top w:val="single" w:color="000000" w:sz="4" w:space="0"/>
              <w:left w:val="single" w:color="000000" w:sz="4" w:space="0"/>
              <w:bottom w:val="single" w:color="000000" w:sz="4" w:space="0"/>
              <w:right w:val="single" w:color="000000" w:sz="4" w:space="0"/>
            </w:tcBorders>
            <w:vAlign w:val="center"/>
          </w:tcPr>
          <w:p w14:paraId="7AC1318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屏幕尺寸</w:t>
            </w:r>
          </w:p>
        </w:tc>
        <w:tc>
          <w:tcPr>
            <w:tcW w:w="3161" w:type="pct"/>
            <w:tcBorders>
              <w:top w:val="single" w:color="000000" w:sz="4" w:space="0"/>
              <w:left w:val="single" w:color="000000" w:sz="4" w:space="0"/>
              <w:bottom w:val="single" w:color="000000" w:sz="4" w:space="0"/>
              <w:right w:val="single" w:color="000000" w:sz="4" w:space="0"/>
            </w:tcBorders>
            <w:vAlign w:val="center"/>
          </w:tcPr>
          <w:p w14:paraId="4982CA8F">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不小于5寸</w:t>
            </w:r>
          </w:p>
        </w:tc>
      </w:tr>
      <w:tr w14:paraId="3D3220DC">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2FE2BC38">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02" w:type="pct"/>
            <w:tcBorders>
              <w:top w:val="single" w:color="000000" w:sz="4" w:space="0"/>
              <w:left w:val="single" w:color="000000" w:sz="4" w:space="0"/>
              <w:bottom w:val="single" w:color="000000" w:sz="4" w:space="0"/>
              <w:right w:val="single" w:color="000000" w:sz="4" w:space="0"/>
            </w:tcBorders>
            <w:vAlign w:val="center"/>
          </w:tcPr>
          <w:p w14:paraId="771D1375">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屏幕分辨率</w:t>
            </w:r>
          </w:p>
        </w:tc>
        <w:tc>
          <w:tcPr>
            <w:tcW w:w="3161" w:type="pct"/>
            <w:tcBorders>
              <w:top w:val="single" w:color="000000" w:sz="4" w:space="0"/>
              <w:left w:val="single" w:color="000000" w:sz="4" w:space="0"/>
              <w:bottom w:val="single" w:color="000000" w:sz="4" w:space="0"/>
              <w:right w:val="single" w:color="000000" w:sz="4" w:space="0"/>
            </w:tcBorders>
            <w:vAlign w:val="center"/>
          </w:tcPr>
          <w:p w14:paraId="5623371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不少于1280*720/全屏款分辨率1440*720像素</w:t>
            </w:r>
          </w:p>
        </w:tc>
      </w:tr>
      <w:tr w14:paraId="5F372074">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400E2D63">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02" w:type="pct"/>
            <w:tcBorders>
              <w:top w:val="single" w:color="000000" w:sz="4" w:space="0"/>
              <w:left w:val="single" w:color="000000" w:sz="4" w:space="0"/>
              <w:bottom w:val="single" w:color="000000" w:sz="4" w:space="0"/>
              <w:right w:val="single" w:color="000000" w:sz="4" w:space="0"/>
            </w:tcBorders>
            <w:vAlign w:val="center"/>
          </w:tcPr>
          <w:p w14:paraId="40041245">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触摸屏</w:t>
            </w:r>
          </w:p>
        </w:tc>
        <w:tc>
          <w:tcPr>
            <w:tcW w:w="3161" w:type="pct"/>
            <w:tcBorders>
              <w:top w:val="single" w:color="000000" w:sz="4" w:space="0"/>
              <w:left w:val="single" w:color="000000" w:sz="4" w:space="0"/>
              <w:bottom w:val="single" w:color="000000" w:sz="4" w:space="0"/>
              <w:right w:val="single" w:color="000000" w:sz="4" w:space="0"/>
            </w:tcBorders>
            <w:vAlign w:val="center"/>
          </w:tcPr>
          <w:p w14:paraId="1ECE5F8F">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多点触控，三级玻璃钢化屏</w:t>
            </w:r>
          </w:p>
        </w:tc>
      </w:tr>
      <w:tr w14:paraId="10DEBBE8">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5745A111">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02" w:type="pct"/>
            <w:tcBorders>
              <w:top w:val="single" w:color="000000" w:sz="4" w:space="0"/>
              <w:left w:val="single" w:color="000000" w:sz="4" w:space="0"/>
              <w:bottom w:val="single" w:color="000000" w:sz="4" w:space="0"/>
              <w:right w:val="single" w:color="000000" w:sz="4" w:space="0"/>
            </w:tcBorders>
            <w:vAlign w:val="center"/>
          </w:tcPr>
          <w:p w14:paraId="366AD8AB">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前置</w:t>
            </w:r>
          </w:p>
        </w:tc>
        <w:tc>
          <w:tcPr>
            <w:tcW w:w="3161" w:type="pct"/>
            <w:tcBorders>
              <w:top w:val="single" w:color="000000" w:sz="4" w:space="0"/>
              <w:left w:val="single" w:color="000000" w:sz="4" w:space="0"/>
              <w:bottom w:val="single" w:color="000000" w:sz="4" w:space="0"/>
              <w:right w:val="single" w:color="000000" w:sz="4" w:space="0"/>
            </w:tcBorders>
            <w:vAlign w:val="center"/>
          </w:tcPr>
          <w:p w14:paraId="7E479ADF">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不小于5.0MP</w:t>
            </w:r>
          </w:p>
        </w:tc>
      </w:tr>
      <w:tr w14:paraId="715825A5">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57FE02BD">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02" w:type="pct"/>
            <w:tcBorders>
              <w:top w:val="single" w:color="000000" w:sz="4" w:space="0"/>
              <w:left w:val="single" w:color="000000" w:sz="4" w:space="0"/>
              <w:bottom w:val="single" w:color="000000" w:sz="4" w:space="0"/>
              <w:right w:val="single" w:color="000000" w:sz="4" w:space="0"/>
            </w:tcBorders>
            <w:vAlign w:val="center"/>
          </w:tcPr>
          <w:p w14:paraId="412D3AF6">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后置</w:t>
            </w:r>
          </w:p>
        </w:tc>
        <w:tc>
          <w:tcPr>
            <w:tcW w:w="3161" w:type="pct"/>
            <w:tcBorders>
              <w:top w:val="single" w:color="000000" w:sz="4" w:space="0"/>
              <w:left w:val="single" w:color="000000" w:sz="4" w:space="0"/>
              <w:bottom w:val="single" w:color="000000" w:sz="4" w:space="0"/>
              <w:right w:val="single" w:color="000000" w:sz="4" w:space="0"/>
            </w:tcBorders>
            <w:vAlign w:val="center"/>
          </w:tcPr>
          <w:p w14:paraId="330F229F">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不小于13MP，自动对焦带闪光灯</w:t>
            </w:r>
          </w:p>
        </w:tc>
      </w:tr>
      <w:tr w14:paraId="29BF6BA9">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51925DAD">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02" w:type="pct"/>
            <w:tcBorders>
              <w:top w:val="single" w:color="000000" w:sz="4" w:space="0"/>
              <w:left w:val="single" w:color="000000" w:sz="4" w:space="0"/>
              <w:bottom w:val="single" w:color="000000" w:sz="4" w:space="0"/>
              <w:right w:val="single" w:color="000000" w:sz="4" w:space="0"/>
            </w:tcBorders>
            <w:vAlign w:val="center"/>
          </w:tcPr>
          <w:p w14:paraId="619E33F7">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数据采集</w:t>
            </w:r>
          </w:p>
        </w:tc>
        <w:tc>
          <w:tcPr>
            <w:tcW w:w="3161" w:type="pct"/>
            <w:tcBorders>
              <w:top w:val="single" w:color="000000" w:sz="4" w:space="0"/>
              <w:left w:val="single" w:color="000000" w:sz="4" w:space="0"/>
              <w:bottom w:val="single" w:color="000000" w:sz="4" w:space="0"/>
              <w:right w:val="single" w:color="000000" w:sz="4" w:space="0"/>
            </w:tcBorders>
            <w:vAlign w:val="center"/>
          </w:tcPr>
          <w:p w14:paraId="1AFB296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支持一维码、二维码、高频RFID、超高频RFID识别</w:t>
            </w:r>
          </w:p>
        </w:tc>
      </w:tr>
      <w:tr w14:paraId="6D950671">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44CC3349">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402" w:type="pct"/>
            <w:tcBorders>
              <w:top w:val="single" w:color="000000" w:sz="4" w:space="0"/>
              <w:left w:val="single" w:color="000000" w:sz="4" w:space="0"/>
              <w:bottom w:val="single" w:color="000000" w:sz="4" w:space="0"/>
              <w:right w:val="single" w:color="000000" w:sz="4" w:space="0"/>
            </w:tcBorders>
            <w:vAlign w:val="center"/>
          </w:tcPr>
          <w:p w14:paraId="66B419E4">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电池容量</w:t>
            </w:r>
          </w:p>
        </w:tc>
        <w:tc>
          <w:tcPr>
            <w:tcW w:w="3161" w:type="pct"/>
            <w:tcBorders>
              <w:top w:val="single" w:color="000000" w:sz="4" w:space="0"/>
              <w:left w:val="single" w:color="000000" w:sz="4" w:space="0"/>
              <w:bottom w:val="single" w:color="000000" w:sz="4" w:space="0"/>
              <w:right w:val="single" w:color="000000" w:sz="4" w:space="0"/>
            </w:tcBorders>
            <w:vAlign w:val="center"/>
          </w:tcPr>
          <w:p w14:paraId="34F85DC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不小于4200mAh</w:t>
            </w:r>
          </w:p>
        </w:tc>
      </w:tr>
      <w:tr w14:paraId="2CFBA578">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5CADAD7F">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02" w:type="pct"/>
            <w:tcBorders>
              <w:top w:val="single" w:color="000000" w:sz="4" w:space="0"/>
              <w:left w:val="single" w:color="000000" w:sz="4" w:space="0"/>
              <w:bottom w:val="single" w:color="000000" w:sz="4" w:space="0"/>
              <w:right w:val="single" w:color="000000" w:sz="4" w:space="0"/>
            </w:tcBorders>
            <w:vAlign w:val="center"/>
          </w:tcPr>
          <w:p w14:paraId="42C38319">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续航时间</w:t>
            </w:r>
          </w:p>
        </w:tc>
        <w:tc>
          <w:tcPr>
            <w:tcW w:w="3161" w:type="pct"/>
            <w:tcBorders>
              <w:top w:val="single" w:color="000000" w:sz="4" w:space="0"/>
              <w:left w:val="single" w:color="000000" w:sz="4" w:space="0"/>
              <w:bottom w:val="single" w:color="000000" w:sz="4" w:space="0"/>
              <w:right w:val="single" w:color="000000" w:sz="4" w:space="0"/>
            </w:tcBorders>
            <w:vAlign w:val="center"/>
          </w:tcPr>
          <w:p w14:paraId="64787F74">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不低于6小时（待机时间不低于200h）</w:t>
            </w:r>
          </w:p>
        </w:tc>
      </w:tr>
      <w:tr w14:paraId="7570B12F">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58C962CE">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02" w:type="pct"/>
            <w:tcBorders>
              <w:top w:val="single" w:color="000000" w:sz="4" w:space="0"/>
              <w:left w:val="single" w:color="000000" w:sz="4" w:space="0"/>
              <w:bottom w:val="single" w:color="000000" w:sz="4" w:space="0"/>
              <w:right w:val="single" w:color="000000" w:sz="4" w:space="0"/>
            </w:tcBorders>
            <w:vAlign w:val="center"/>
          </w:tcPr>
          <w:p w14:paraId="090930A2">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跌落测试</w:t>
            </w:r>
          </w:p>
        </w:tc>
        <w:tc>
          <w:tcPr>
            <w:tcW w:w="3161" w:type="pct"/>
            <w:tcBorders>
              <w:top w:val="single" w:color="000000" w:sz="4" w:space="0"/>
              <w:left w:val="single" w:color="000000" w:sz="4" w:space="0"/>
              <w:bottom w:val="single" w:color="000000" w:sz="4" w:space="0"/>
              <w:right w:val="single" w:color="000000" w:sz="4" w:space="0"/>
            </w:tcBorders>
            <w:vAlign w:val="center"/>
          </w:tcPr>
          <w:p w14:paraId="71E47397">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能经受多次从1.5米(5英尺)高度坠落</w:t>
            </w:r>
          </w:p>
        </w:tc>
      </w:tr>
      <w:tr w14:paraId="6382652B">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06F4B555">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02" w:type="pct"/>
            <w:tcBorders>
              <w:top w:val="single" w:color="000000" w:sz="4" w:space="0"/>
              <w:left w:val="single" w:color="000000" w:sz="4" w:space="0"/>
              <w:bottom w:val="single" w:color="000000" w:sz="4" w:space="0"/>
              <w:right w:val="single" w:color="000000" w:sz="4" w:space="0"/>
            </w:tcBorders>
            <w:vAlign w:val="center"/>
          </w:tcPr>
          <w:p w14:paraId="6ECDB299">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防水防尘工业等级</w:t>
            </w:r>
          </w:p>
        </w:tc>
        <w:tc>
          <w:tcPr>
            <w:tcW w:w="3161" w:type="pct"/>
            <w:tcBorders>
              <w:top w:val="single" w:color="000000" w:sz="4" w:space="0"/>
              <w:left w:val="single" w:color="000000" w:sz="4" w:space="0"/>
              <w:bottom w:val="single" w:color="000000" w:sz="4" w:space="0"/>
              <w:right w:val="single" w:color="000000" w:sz="4" w:space="0"/>
            </w:tcBorders>
            <w:vAlign w:val="center"/>
          </w:tcPr>
          <w:p w14:paraId="71E23AF5">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≥IP65</w:t>
            </w:r>
          </w:p>
        </w:tc>
      </w:tr>
      <w:tr w14:paraId="13015DE5">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4A98FF0B">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402" w:type="pct"/>
            <w:tcBorders>
              <w:top w:val="single" w:color="000000" w:sz="4" w:space="0"/>
              <w:left w:val="single" w:color="000000" w:sz="4" w:space="0"/>
              <w:bottom w:val="single" w:color="000000" w:sz="4" w:space="0"/>
              <w:right w:val="single" w:color="000000" w:sz="4" w:space="0"/>
            </w:tcBorders>
            <w:vAlign w:val="center"/>
          </w:tcPr>
          <w:p w14:paraId="4F3B39F6">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国家强制安全认证</w:t>
            </w:r>
          </w:p>
        </w:tc>
        <w:tc>
          <w:tcPr>
            <w:tcW w:w="3161" w:type="pct"/>
            <w:tcBorders>
              <w:top w:val="single" w:color="000000" w:sz="4" w:space="0"/>
              <w:left w:val="single" w:color="000000" w:sz="4" w:space="0"/>
              <w:bottom w:val="single" w:color="000000" w:sz="4" w:space="0"/>
              <w:right w:val="single" w:color="000000" w:sz="4" w:space="0"/>
            </w:tcBorders>
            <w:vAlign w:val="center"/>
          </w:tcPr>
          <w:p w14:paraId="2606BCA0">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必须通过国家强制性CCC认证，出具证书并加盖公章</w:t>
            </w:r>
          </w:p>
        </w:tc>
      </w:tr>
      <w:tr w14:paraId="51EA625D">
        <w:tblPrEx>
          <w:tblCellMar>
            <w:top w:w="0" w:type="dxa"/>
            <w:left w:w="108" w:type="dxa"/>
            <w:bottom w:w="0" w:type="dxa"/>
            <w:right w:w="108" w:type="dxa"/>
          </w:tblCellMar>
        </w:tblPrEx>
        <w:trPr>
          <w:trHeight w:val="567" w:hRule="atLeast"/>
          <w:jc w:val="center"/>
        </w:trPr>
        <w:tc>
          <w:tcPr>
            <w:tcW w:w="437" w:type="pct"/>
            <w:tcBorders>
              <w:top w:val="single" w:color="000000" w:sz="4" w:space="0"/>
              <w:left w:val="single" w:color="000000" w:sz="4" w:space="0"/>
              <w:bottom w:val="single" w:color="000000" w:sz="4" w:space="0"/>
              <w:right w:val="single" w:color="000000" w:sz="4" w:space="0"/>
            </w:tcBorders>
            <w:noWrap/>
            <w:vAlign w:val="center"/>
          </w:tcPr>
          <w:p w14:paraId="4ECFA337">
            <w:pPr>
              <w:pStyle w:val="24"/>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402" w:type="pct"/>
            <w:tcBorders>
              <w:top w:val="single" w:color="000000" w:sz="4" w:space="0"/>
              <w:left w:val="single" w:color="000000" w:sz="4" w:space="0"/>
              <w:bottom w:val="single" w:color="000000" w:sz="4" w:space="0"/>
              <w:right w:val="single" w:color="000000" w:sz="4" w:space="0"/>
            </w:tcBorders>
            <w:vAlign w:val="center"/>
          </w:tcPr>
          <w:p w14:paraId="48B216C1">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软件要求</w:t>
            </w:r>
          </w:p>
        </w:tc>
        <w:tc>
          <w:tcPr>
            <w:tcW w:w="3161" w:type="pct"/>
            <w:tcBorders>
              <w:top w:val="single" w:color="000000" w:sz="4" w:space="0"/>
              <w:left w:val="single" w:color="000000" w:sz="4" w:space="0"/>
              <w:bottom w:val="single" w:color="000000" w:sz="4" w:space="0"/>
              <w:right w:val="single" w:color="000000" w:sz="4" w:space="0"/>
            </w:tcBorders>
            <w:vAlign w:val="center"/>
          </w:tcPr>
          <w:p w14:paraId="070E94E4">
            <w:pPr>
              <w:pStyle w:val="24"/>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支持中心库出入库管理、库位查询、上架管理、盘点管理、配送管理。</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val="en-US" w:eastAsia="zh-CN"/>
              </w:rPr>
              <w:t>PDA页面截图</w:t>
            </w:r>
            <w:r>
              <w:rPr>
                <w:rFonts w:hint="eastAsia" w:ascii="宋体" w:hAnsi="宋体" w:eastAsia="宋体" w:cs="宋体"/>
                <w:color w:val="auto"/>
                <w:sz w:val="24"/>
                <w:szCs w:val="24"/>
                <w:highlight w:val="none"/>
              </w:rPr>
              <w:t>）</w:t>
            </w:r>
          </w:p>
        </w:tc>
      </w:tr>
    </w:tbl>
    <w:p w14:paraId="521CCC1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（三）服务器技术要求</w:t>
      </w:r>
    </w:p>
    <w:p w14:paraId="3EA3D1E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三台服务器：1、一台作为应用服务器，承载业务；2、一台作为备份服务器，备份数据库或整机备份；3、一台作为前置机服务器，用于院内外数据交换。</w:t>
      </w:r>
    </w:p>
    <w:tbl>
      <w:tblPr>
        <w:tblStyle w:val="15"/>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783"/>
        <w:gridCol w:w="4430"/>
        <w:gridCol w:w="791"/>
      </w:tblGrid>
      <w:tr w14:paraId="505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noWrap w:val="0"/>
            <w:vAlign w:val="center"/>
          </w:tcPr>
          <w:p w14:paraId="7263320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w:t>
            </w:r>
          </w:p>
        </w:tc>
        <w:tc>
          <w:tcPr>
            <w:tcW w:w="1043" w:type="pct"/>
            <w:noWrap w:val="0"/>
            <w:vAlign w:val="center"/>
          </w:tcPr>
          <w:p w14:paraId="3145A4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描述</w:t>
            </w:r>
          </w:p>
        </w:tc>
        <w:tc>
          <w:tcPr>
            <w:tcW w:w="2591" w:type="pct"/>
            <w:noWrap w:val="0"/>
            <w:vAlign w:val="center"/>
          </w:tcPr>
          <w:p w14:paraId="0CCF3CA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参考参数</w:t>
            </w:r>
          </w:p>
        </w:tc>
        <w:tc>
          <w:tcPr>
            <w:tcW w:w="462" w:type="pct"/>
            <w:noWrap w:val="0"/>
            <w:vAlign w:val="center"/>
          </w:tcPr>
          <w:p w14:paraId="307728E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561E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noWrap w:val="0"/>
            <w:vAlign w:val="center"/>
          </w:tcPr>
          <w:p w14:paraId="53630CF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应用服务器/备份服务器</w:t>
            </w:r>
          </w:p>
          <w:p w14:paraId="4316758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（共两台）</w:t>
            </w:r>
          </w:p>
        </w:tc>
        <w:tc>
          <w:tcPr>
            <w:tcW w:w="1043" w:type="pct"/>
            <w:noWrap w:val="0"/>
            <w:vAlign w:val="center"/>
          </w:tcPr>
          <w:p w14:paraId="50D2297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用于SPD系统数据存储管理</w:t>
            </w:r>
          </w:p>
        </w:tc>
        <w:tc>
          <w:tcPr>
            <w:tcW w:w="2591" w:type="pct"/>
            <w:noWrap w:val="0"/>
            <w:vAlign w:val="center"/>
          </w:tcPr>
          <w:p w14:paraId="61EF45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CPU：≥2颗，2.1GHz以上 10核及以上</w:t>
            </w:r>
          </w:p>
          <w:p w14:paraId="4347DB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内存：≥32GB</w:t>
            </w:r>
          </w:p>
          <w:p w14:paraId="721108D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硬盘：1.2TB SR430 10K *3</w:t>
            </w:r>
          </w:p>
          <w:p w14:paraId="18CB08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可配置2个冗余热插拔电源</w:t>
            </w:r>
          </w:p>
          <w:p w14:paraId="507658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机架式服务器 双电源</w:t>
            </w:r>
          </w:p>
          <w:p w14:paraId="79D3EBA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支持通用的64位UNIX、Windows、Linux操作系统</w:t>
            </w:r>
          </w:p>
          <w:p w14:paraId="6CDD1A7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支持加电密码、管理员密码、TPM 2.0、安全面板等安全特性</w:t>
            </w:r>
          </w:p>
          <w:p w14:paraId="66618E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配套电源线、导轨、PDU</w:t>
            </w:r>
          </w:p>
          <w:p w14:paraId="3AE3DBD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服务器高度2u</w:t>
            </w:r>
          </w:p>
        </w:tc>
        <w:tc>
          <w:tcPr>
            <w:tcW w:w="462" w:type="pct"/>
            <w:noWrap w:val="0"/>
            <w:vAlign w:val="center"/>
          </w:tcPr>
          <w:p w14:paraId="484A1C2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C7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02" w:type="pct"/>
            <w:noWrap w:val="0"/>
            <w:vAlign w:val="center"/>
          </w:tcPr>
          <w:p w14:paraId="4E5828B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前置机服务器</w:t>
            </w:r>
          </w:p>
          <w:p w14:paraId="4681840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（一台）</w:t>
            </w:r>
          </w:p>
        </w:tc>
        <w:tc>
          <w:tcPr>
            <w:tcW w:w="1043" w:type="pct"/>
            <w:noWrap w:val="0"/>
            <w:vAlign w:val="center"/>
          </w:tcPr>
          <w:p w14:paraId="63773DB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SPD内部应用服务以及供应链服务平台</w:t>
            </w:r>
          </w:p>
        </w:tc>
        <w:tc>
          <w:tcPr>
            <w:tcW w:w="2591" w:type="pct"/>
            <w:noWrap w:val="0"/>
            <w:vAlign w:val="center"/>
          </w:tcPr>
          <w:p w14:paraId="1B862C1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CPU：≥2颗，2.1GHz以上 10核及以上</w:t>
            </w:r>
          </w:p>
          <w:p w14:paraId="2091AEB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内存：≥32GB</w:t>
            </w:r>
          </w:p>
          <w:p w14:paraId="24BA4B3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硬盘：1.2TB SR430 10K *3</w:t>
            </w:r>
          </w:p>
          <w:p w14:paraId="3C1CCD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可配置2个冗余热插拔电源</w:t>
            </w:r>
          </w:p>
          <w:p w14:paraId="27BE2F7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机架式服务器 双电源</w:t>
            </w:r>
          </w:p>
          <w:p w14:paraId="6FE5C83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支持通用的64位UNIX、Windows、Linux操作系统</w:t>
            </w:r>
          </w:p>
          <w:p w14:paraId="4F1423D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支持加电密码、管理员密码、TPM 2.0、安全面板等安全特性</w:t>
            </w:r>
          </w:p>
          <w:p w14:paraId="47835D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配套电源线、导轨、PDU</w:t>
            </w:r>
          </w:p>
          <w:p w14:paraId="4AF1E8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服务器高度2u</w:t>
            </w:r>
          </w:p>
        </w:tc>
        <w:tc>
          <w:tcPr>
            <w:tcW w:w="462" w:type="pct"/>
            <w:noWrap w:val="0"/>
            <w:vAlign w:val="center"/>
          </w:tcPr>
          <w:p w14:paraId="371F79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427383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六、项目软件建设要求</w:t>
      </w:r>
    </w:p>
    <w:p w14:paraId="40BA5F2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（一）供应商协同管理平台</w:t>
      </w:r>
    </w:p>
    <w:tbl>
      <w:tblPr>
        <w:tblStyle w:val="15"/>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1369"/>
        <w:gridCol w:w="8280"/>
      </w:tblGrid>
      <w:tr w14:paraId="1EB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1A3D2F9A">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both"/>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序号</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5DEF038">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子功能</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2D8A012">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功能描述</w:t>
            </w:r>
          </w:p>
        </w:tc>
      </w:tr>
      <w:tr w14:paraId="3F64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01B9BFC0">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B141267">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架构和权限管理</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5C60764E">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平台以B/S架构搭建，满足给各厂家、供应商、服务商、医院等提供对应的安全账号登录，自动校验账号数据过滤，查询需要的信息。</w:t>
            </w:r>
          </w:p>
        </w:tc>
      </w:tr>
      <w:tr w14:paraId="0D3F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13286357">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2</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696FF56">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统一编码和对照</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89D9F19">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供应商各环节业务销售数据，实现通过统一商品编码映射，商品的生产厂家，企业可以通过平台实现产品一码溯源，查询全流程销售流向数据跟踪。</w:t>
            </w:r>
          </w:p>
        </w:tc>
      </w:tr>
      <w:tr w14:paraId="217B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45BA42C4">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3</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8550FB8">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供应商管理</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0EBF61C6">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支持供应商管理，供应商可登录平台进行订单管理等业务操作，可登录供应商协同平台查询库存信息、消耗信息、结算信息等。</w:t>
            </w:r>
          </w:p>
        </w:tc>
      </w:tr>
      <w:tr w14:paraId="483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7B6E0A59">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4</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C88673E">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条码标签管理</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7C194233">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通过标签码/二维码进行一码溯源。</w:t>
            </w:r>
          </w:p>
        </w:tc>
      </w:tr>
      <w:tr w14:paraId="5212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1A1C20C5">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939AA67">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数据授权和审批流定义</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4C88B879">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支持商品、供应商等准入机制管理并支持设置对应数据过滤，支持服务商，医院等多方审批流程配置等。</w:t>
            </w:r>
          </w:p>
        </w:tc>
      </w:tr>
      <w:tr w14:paraId="7E0C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2272D2CD">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6</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A3E707E">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数据传输</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9A78849">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提供标准接口，支持与院内系统、供应链协同平台对接，实现商品主档、采购单、配送单、结算、开票、发票、资质证照等数据的自动同步。</w:t>
            </w:r>
          </w:p>
        </w:tc>
      </w:tr>
      <w:tr w14:paraId="4D1A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1ED7D9A6">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7</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782D37F">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采购订单接收与处理</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B40BDFA">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采购单全流程管理，包括订单确认、订单配送、订单发货、订单收货、订单终结等；支持一次采购，多次配送；支持同一配送单、同一商品不同批号配送；支持配送单打印；支持平台根据院内需求进行赋码和打码。</w:t>
            </w:r>
          </w:p>
        </w:tc>
      </w:tr>
      <w:tr w14:paraId="17A9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7E1A972B">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8</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F7C9AB7">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证照管理和预警</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5798D77B">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资质证照管理，包括商品（包括注册证、备案凭证、每个批次的检验合格报告等）及企业（供应商、厂家、代理商、中标人等）资质证照采集、审核、维护管理；支持商品证照授权链管理，对过期证照有自动提醒及通知功能，对过期证照自动停用；支持基于证照的各种统计，包括证照审核进度报表、商品资质证（含企业资质证照）完整性审核统计等；支持采购配送维护时自动或手动关联商品注册证或备案凭证。</w:t>
            </w:r>
          </w:p>
        </w:tc>
      </w:tr>
      <w:tr w14:paraId="2B2A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2CC96C01">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9</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10877F5">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发票制作功能</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6CA9748">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供应商可以调取消耗信息进行登记发票信息，支持多张结算单开具一张发票，也可支持一张结算单开具多张发票。</w:t>
            </w:r>
          </w:p>
        </w:tc>
      </w:tr>
      <w:tr w14:paraId="7558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6368EA7E">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10</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40F39F8">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统计分析功能</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5208CDD">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供应商配送效率；支持对一种或多种耗材按科室使用量查询统计、打印、导出等</w:t>
            </w:r>
          </w:p>
        </w:tc>
      </w:tr>
      <w:tr w14:paraId="3E7F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4A54B165">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11</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CD50D88">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供应商评价</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463F16C0">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支持供应商绩效评价。基于供应商配送时效、配送准确率、缺货率等数据进行在线考核。</w:t>
            </w:r>
          </w:p>
        </w:tc>
      </w:tr>
      <w:tr w14:paraId="4237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3D97F586">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12</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5C16F37">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结算数据管理</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1C127043">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支持结算数据管理，按照日清月结方式处理医院与供应商之间的结算数据，支持结算数据账单与结账资料打印。</w:t>
            </w:r>
          </w:p>
        </w:tc>
      </w:tr>
      <w:tr w14:paraId="5204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14:paraId="2771333D">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13</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1815440">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权限管理</w:t>
            </w:r>
          </w:p>
        </w:tc>
        <w:tc>
          <w:tcPr>
            <w:tcW w:w="8280" w:type="dxa"/>
            <w:tcBorders>
              <w:top w:val="single" w:color="000000" w:sz="4" w:space="0"/>
              <w:left w:val="single" w:color="000000" w:sz="4" w:space="0"/>
              <w:bottom w:val="single" w:color="000000" w:sz="4" w:space="0"/>
              <w:right w:val="single" w:color="000000" w:sz="4" w:space="0"/>
            </w:tcBorders>
            <w:noWrap/>
            <w:vAlign w:val="center"/>
          </w:tcPr>
          <w:p w14:paraId="6C56C4FB">
            <w:pPr>
              <w:keepNext w:val="0"/>
              <w:keepLines w:val="0"/>
              <w:pageBreakBefore w:val="0"/>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院方可以查看所有订单信息，供应商只能操作及查看自己的订单信息。</w:t>
            </w:r>
          </w:p>
        </w:tc>
      </w:tr>
    </w:tbl>
    <w:p w14:paraId="5129931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（二）院内物流精细化管理平台</w:t>
      </w:r>
    </w:p>
    <w:p w14:paraId="2DCF17F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bookmarkStart w:id="0" w:name="_Toc14241"/>
      <w:bookmarkStart w:id="1" w:name="_Toc21212"/>
      <w:r>
        <w:rPr>
          <w:rFonts w:hint="eastAsia" w:ascii="宋体" w:hAnsi="宋体" w:eastAsia="宋体" w:cs="宋体"/>
          <w:b/>
          <w:bCs/>
          <w:snapToGrid/>
          <w:color w:val="auto"/>
          <w:kern w:val="0"/>
          <w:sz w:val="24"/>
          <w:szCs w:val="24"/>
          <w:highlight w:val="none"/>
          <w:shd w:val="clear" w:color="auto" w:fill="auto"/>
          <w:lang w:val="en-US" w:eastAsia="zh-CN" w:bidi="ar-SA"/>
        </w:rPr>
        <w:t>1.中心库、二级库管理要求</w:t>
      </w:r>
      <w:bookmarkEnd w:id="0"/>
      <w:bookmarkEnd w:id="1"/>
    </w:p>
    <w:tbl>
      <w:tblPr>
        <w:tblStyle w:val="1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973"/>
        <w:gridCol w:w="8403"/>
      </w:tblGrid>
      <w:tr w14:paraId="2DBD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00896FE9">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序号</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CFE96A7">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子功能</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10E2C3C4">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功能描述</w:t>
            </w:r>
          </w:p>
        </w:tc>
      </w:tr>
      <w:tr w14:paraId="478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79F43B83">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01A4F85">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医院物资信息</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39CD3EE0">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zh-CN" w:eastAsia="zh-CN" w:bidi="ar-SA"/>
              </w:rPr>
              <w:t>充分与医院HIS系统对接，实现耗材编码、</w:t>
            </w:r>
            <w:r>
              <w:rPr>
                <w:rStyle w:val="23"/>
                <w:rFonts w:hint="eastAsia" w:ascii="宋体" w:hAnsi="宋体" w:eastAsia="宋体" w:cs="宋体"/>
                <w:color w:val="auto"/>
                <w:sz w:val="24"/>
                <w:szCs w:val="24"/>
                <w:highlight w:val="none"/>
                <w:lang w:val="en-US" w:eastAsia="zh-CN" w:bidi="ar-SA"/>
              </w:rPr>
              <w:t>省采</w:t>
            </w:r>
            <w:r>
              <w:rPr>
                <w:rStyle w:val="23"/>
                <w:rFonts w:hint="eastAsia" w:ascii="宋体" w:hAnsi="宋体" w:eastAsia="宋体" w:cs="宋体"/>
                <w:color w:val="auto"/>
                <w:sz w:val="24"/>
                <w:szCs w:val="24"/>
                <w:highlight w:val="none"/>
                <w:lang w:val="zh-CN" w:eastAsia="zh-CN" w:bidi="ar-SA"/>
              </w:rPr>
              <w:t>编码、供应商编码、库房编码、科室编码、职工编码、医疗项目编码、病种编码等各项信息的统一，实现耗材统一管理，在耗材全生命周期中达到“一物一码”，并具有实时追溯功能。</w:t>
            </w:r>
          </w:p>
        </w:tc>
      </w:tr>
      <w:tr w14:paraId="7908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64497656">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2</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7F387BC">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证件管理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752CBE73">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利用数字技术帮助医院实现医疗产品注册证、授权书、首营资料、</w:t>
            </w:r>
            <w:r>
              <w:rPr>
                <w:rFonts w:hint="eastAsia" w:ascii="宋体" w:hAnsi="宋体" w:eastAsia="宋体" w:cs="宋体"/>
                <w:color w:val="auto"/>
                <w:sz w:val="24"/>
                <w:szCs w:val="24"/>
                <w:highlight w:val="none"/>
                <w:lang w:val="en-US" w:eastAsia="zh-CN" w:bidi="ar-SA"/>
              </w:rPr>
              <w:t>每个批次的检验合格报告</w:t>
            </w:r>
            <w:r>
              <w:rPr>
                <w:rStyle w:val="23"/>
                <w:rFonts w:hint="eastAsia" w:ascii="宋体" w:hAnsi="宋体" w:eastAsia="宋体" w:cs="宋体"/>
                <w:color w:val="auto"/>
                <w:sz w:val="24"/>
                <w:szCs w:val="24"/>
                <w:highlight w:val="none"/>
                <w:lang w:val="en-US" w:eastAsia="zh-CN" w:bidi="ar-SA"/>
              </w:rPr>
              <w:t>的云管理，其中包含证件有效期预警，过期证件自动向供应商索取。证件电子化管理，回溯可查，帮助医院实现合规的无纸化证件管理体系，满足监管要求。（提供符合要求的系统截图证明）</w:t>
            </w:r>
          </w:p>
        </w:tc>
      </w:tr>
      <w:tr w14:paraId="4175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108CAF35">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3</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F9A3523">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采购计划</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5ED847F9">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支持多方式生成采购计划，包括手工及自动采购计划生成、科室申领转采购等，审核（由医院方进行最终审核和确认）、自动按供应商拆分后发送，支持收货地址的维护和管理、订单退货管理。</w:t>
            </w:r>
          </w:p>
        </w:tc>
      </w:tr>
      <w:tr w14:paraId="3027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50AF5FC4">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4</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405987C0">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专科专用品管理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599E89C2">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zh-CN" w:eastAsia="zh-CN" w:bidi="ar-SA"/>
              </w:rPr>
              <w:t>按照科室或者耗材进行专科专用配置，保证专科耗材只能由指定的科室进行使用，防止滥用</w:t>
            </w:r>
            <w:r>
              <w:rPr>
                <w:rStyle w:val="23"/>
                <w:rFonts w:hint="eastAsia" w:ascii="宋体" w:hAnsi="宋体" w:eastAsia="宋体" w:cs="宋体"/>
                <w:color w:val="auto"/>
                <w:sz w:val="24"/>
                <w:szCs w:val="24"/>
                <w:highlight w:val="none"/>
                <w:lang w:val="en-US" w:eastAsia="zh-CN" w:bidi="ar-SA"/>
              </w:rPr>
              <w:t>，</w:t>
            </w:r>
            <w:r>
              <w:rPr>
                <w:rStyle w:val="23"/>
                <w:rFonts w:hint="eastAsia" w:ascii="宋体" w:hAnsi="宋体" w:eastAsia="宋体" w:cs="宋体"/>
                <w:color w:val="auto"/>
                <w:sz w:val="24"/>
                <w:szCs w:val="24"/>
                <w:highlight w:val="none"/>
                <w:lang w:val="zh-CN" w:eastAsia="zh-CN" w:bidi="ar-SA"/>
              </w:rPr>
              <w:t>科室请领限额，系统可控制不同科室的请领额度，以更严格的控制科室成本消耗。</w:t>
            </w:r>
          </w:p>
        </w:tc>
      </w:tr>
      <w:tr w14:paraId="2A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5FE21CC4">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5</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7401F7B8">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合同管理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55EC1C2B">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Style w:val="23"/>
                <w:rFonts w:hint="eastAsia" w:ascii="宋体" w:hAnsi="宋体" w:eastAsia="宋体" w:cs="宋体"/>
                <w:color w:val="auto"/>
                <w:sz w:val="24"/>
                <w:szCs w:val="24"/>
                <w:highlight w:val="none"/>
                <w:lang w:val="en-US" w:eastAsia="zh-CN" w:bidi="ar-SA"/>
              </w:rPr>
              <w:t>用于供应商与医院的购销合同管理，可关联供应商产品，并记录合同完成情况。</w:t>
            </w:r>
          </w:p>
          <w:p w14:paraId="31C44175">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1.支持供应商线上推送合同。</w:t>
            </w:r>
          </w:p>
          <w:p w14:paraId="15FCFB8A">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2.支持合同附件查看、存档、下载。</w:t>
            </w:r>
          </w:p>
          <w:p w14:paraId="2F2F256F">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（提供符合要求的系统截图证明）</w:t>
            </w:r>
          </w:p>
        </w:tc>
      </w:tr>
      <w:tr w14:paraId="4467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1641D6E8">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29514FB">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货位管理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0C2C7260">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zh-CN" w:eastAsia="zh-CN" w:bidi="ar-SA"/>
              </w:rPr>
              <w:t>针对每种规格的耗材配置库存货位，确定其存放的位置，支持多货位。</w:t>
            </w:r>
          </w:p>
        </w:tc>
      </w:tr>
      <w:tr w14:paraId="6F31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1D6371AA">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7</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7501442">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调价管理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3011B230">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Style w:val="23"/>
                <w:rFonts w:hint="eastAsia" w:ascii="宋体" w:hAnsi="宋体" w:eastAsia="宋体" w:cs="宋体"/>
                <w:color w:val="auto"/>
                <w:sz w:val="24"/>
                <w:szCs w:val="24"/>
                <w:highlight w:val="none"/>
                <w:lang w:val="en-US" w:eastAsia="zh-CN" w:bidi="ar-SA"/>
              </w:rPr>
              <w:t>支持定时调价，可按照设定的时间生效调价命令，也可以对当前库存进行调价。</w:t>
            </w:r>
            <w:r>
              <w:rPr>
                <w:rStyle w:val="23"/>
                <w:rFonts w:hint="eastAsia" w:ascii="宋体" w:hAnsi="宋体" w:eastAsia="宋体" w:cs="宋体"/>
                <w:color w:val="auto"/>
                <w:sz w:val="24"/>
                <w:szCs w:val="24"/>
                <w:highlight w:val="none"/>
                <w:lang w:val="zh-CN" w:eastAsia="zh-CN" w:bidi="ar-SA"/>
              </w:rPr>
              <w:t>（提供符合要求的系统截图证明）</w:t>
            </w:r>
          </w:p>
        </w:tc>
      </w:tr>
      <w:tr w14:paraId="2051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571C8536">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8</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76878EB">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临采管理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1A0B9F78">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支持医院物资科（相关科室）的临采申领，有完整的临采管控和执行流程。</w:t>
            </w:r>
          </w:p>
        </w:tc>
      </w:tr>
      <w:tr w14:paraId="7727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54818EAA">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9</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CEF0384">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控费控量管理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523A1644">
            <w:pPr>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特定物资要求支持控量管理，常规物资要求支持按科室定额管理。要求功能包括定额定量初始、定额定量调整，控制项目可以根据医院要求灵活设置。与科室请领整合，实现科室定额的实时控制。</w:t>
            </w:r>
          </w:p>
          <w:p w14:paraId="5DA86B40">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zh-CN" w:eastAsia="zh-CN" w:bidi="ar-SA"/>
              </w:rPr>
            </w:pPr>
            <w:r>
              <w:rPr>
                <w:rStyle w:val="23"/>
                <w:rFonts w:hint="eastAsia" w:ascii="宋体" w:hAnsi="宋体" w:eastAsia="宋体" w:cs="宋体"/>
                <w:color w:val="auto"/>
                <w:sz w:val="24"/>
                <w:szCs w:val="24"/>
                <w:highlight w:val="none"/>
                <w:lang w:val="en-US" w:eastAsia="zh-CN" w:bidi="ar-SA"/>
              </w:rPr>
              <w:t>（提供符合要求的系统截图证明）</w:t>
            </w:r>
          </w:p>
        </w:tc>
      </w:tr>
      <w:tr w14:paraId="0D25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31E665AC">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10</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B32EA02">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消息通知</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690F78C6">
            <w:pPr>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支持各类信息的微信通知、物流各节点展示和管控，方便供应管理节点控制和事务处理，应急管理与反馈，包括订单通知、节点控制通知、证照过期通知、结算信息通知、服务费缴纳通知等</w:t>
            </w:r>
          </w:p>
          <w:p w14:paraId="0BC50DED">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（提供符合要求的系统截图证明）</w:t>
            </w:r>
          </w:p>
        </w:tc>
      </w:tr>
      <w:tr w14:paraId="5EC7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65197477">
            <w:pPr>
              <w:keepNext w:val="0"/>
              <w:keepLines w:val="0"/>
              <w:pageBreakBefore w:val="0"/>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11</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8A28B03">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公告管理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1D32AEBB">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支持医院向供应商发公告通知，在平台端进行展现和发布；支持编辑标题、内容、摘要；并且支持选择消息、通告类型，以及文字格式编辑，包括字体、段落、格式。</w:t>
            </w:r>
          </w:p>
        </w:tc>
      </w:tr>
      <w:tr w14:paraId="7CFD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2293B1AA">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12</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25EADD27">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字典分类管理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3CC9DC5A">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支持物资字典分类管理，可以根据疾病、医保、手术、供应商等进行字典分类多供应商管理，采购时可灵活切换二级供应商管理，满足院内继配供应商统计需求多单位管理，满足不同用户不同的喜好单位需求字典变更修改记录，记录字典的修改记录，方便追溯信息，伴随服务费类字典，适应医保结算变化需求</w:t>
            </w:r>
          </w:p>
        </w:tc>
      </w:tr>
      <w:tr w14:paraId="6950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6D5D8B72">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13</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F23FB13">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追溯管理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3A1A197B">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支持院内唯一码追溯管理。通过院内唯一码管理，实现医用耗材全流通环节的监控，同时实现医用物资院内、院外追溯管理。</w:t>
            </w:r>
          </w:p>
        </w:tc>
      </w:tr>
      <w:tr w14:paraId="34AC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62251F6C">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14</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C0C39B0">
            <w:pPr>
              <w:keepNext w:val="0"/>
              <w:keepLines w:val="0"/>
              <w:pageBreakBefore w:val="0"/>
              <w:kinsoku w:val="0"/>
              <w:wordWrap/>
              <w:overflowPunct/>
              <w:topLinePunct w:val="0"/>
              <w:autoSpaceDE w:val="0"/>
              <w:autoSpaceDN w:val="0"/>
              <w:bidi w:val="0"/>
              <w:adjustRightInd w:val="0"/>
              <w:snapToGrid w:val="0"/>
              <w:spacing w:line="360" w:lineRule="auto"/>
              <w:jc w:val="both"/>
              <w:rPr>
                <w:rStyle w:val="23"/>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批号效期管理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4F865F7A">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支持批号效期管理，实现医用耗材全流程环节的批号效期管理，包括近效期预警、过效期报警，支持单品效期预警周期的单独维护。</w:t>
            </w:r>
          </w:p>
        </w:tc>
      </w:tr>
      <w:tr w14:paraId="2EF1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5940E821">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15</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244DB9C6">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带量采购分析</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5B0830EB">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根据管理要求，对带量采购耗材进行管理，对带量采购完成数量、完成率进行统计。</w:t>
            </w:r>
          </w:p>
        </w:tc>
      </w:tr>
      <w:tr w14:paraId="1CE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44E2C2D8">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 xml:space="preserve"> 16</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4CC613B">
            <w:pPr>
              <w:keepNext w:val="0"/>
              <w:keepLines w:val="0"/>
              <w:pageBreakBefore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供应商考评管理</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1ADE6F1F">
            <w:pPr>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系统可以根据供货能力、产品质量，售后服务等维度对供应商进行综合评分。</w:t>
            </w:r>
          </w:p>
        </w:tc>
      </w:tr>
      <w:tr w14:paraId="3FEC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2D8B29EF">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17</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E48C950">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自定义流程</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30C85F76">
            <w:pPr>
              <w:keepNext w:val="0"/>
              <w:keepLines w:val="0"/>
              <w:pageBreakBefore w:val="0"/>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支持流程管理，要求可根据不同科室配置不同流程；支持采购、验收、入库、出库等环节流程定制化配置，通过科室、仓库、审核人自由组合形成符合多种复杂运营环境下的自定义流程。</w:t>
            </w:r>
          </w:p>
          <w:p w14:paraId="46DDD974">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（提供符合要求的系统截图证明）</w:t>
            </w:r>
          </w:p>
        </w:tc>
      </w:tr>
      <w:tr w14:paraId="100C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580C7DF2">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en-US" w:eastAsia="zh-CN" w:bidi="ar-SA"/>
              </w:rPr>
            </w:pPr>
            <w:r>
              <w:rPr>
                <w:rStyle w:val="23"/>
                <w:rFonts w:hint="eastAsia" w:ascii="宋体" w:hAnsi="宋体" w:eastAsia="宋体" w:cs="宋体"/>
                <w:color w:val="auto"/>
                <w:sz w:val="24"/>
                <w:szCs w:val="24"/>
                <w:highlight w:val="none"/>
                <w:lang w:val="en-US" w:eastAsia="zh-CN" w:bidi="ar-SA"/>
              </w:rPr>
              <w:t>18</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7F0EBBC7">
            <w:pPr>
              <w:keepNext w:val="0"/>
              <w:keepLines w:val="0"/>
              <w:pageBreakBefore w:val="0"/>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color w:val="auto"/>
                <w:sz w:val="24"/>
                <w:szCs w:val="24"/>
                <w:highlight w:val="none"/>
                <w:lang w:val="zh-CN" w:eastAsia="zh-CN" w:bidi="ar-SA"/>
              </w:rPr>
            </w:pPr>
            <w:r>
              <w:rPr>
                <w:rStyle w:val="23"/>
                <w:rFonts w:hint="eastAsia" w:ascii="宋体" w:hAnsi="宋体" w:eastAsia="宋体" w:cs="宋体"/>
                <w:color w:val="auto"/>
                <w:sz w:val="24"/>
                <w:szCs w:val="24"/>
                <w:highlight w:val="none"/>
                <w:lang w:val="zh-CN" w:eastAsia="zh-CN" w:bidi="ar-SA"/>
              </w:rPr>
              <w:t>接口设置</w:t>
            </w:r>
          </w:p>
        </w:tc>
        <w:tc>
          <w:tcPr>
            <w:tcW w:w="8403" w:type="dxa"/>
            <w:tcBorders>
              <w:top w:val="single" w:color="000000" w:sz="4" w:space="0"/>
              <w:left w:val="single" w:color="000000" w:sz="4" w:space="0"/>
              <w:bottom w:val="single" w:color="000000" w:sz="4" w:space="0"/>
              <w:right w:val="single" w:color="000000" w:sz="4" w:space="0"/>
            </w:tcBorders>
            <w:noWrap/>
            <w:vAlign w:val="center"/>
          </w:tcPr>
          <w:p w14:paraId="6DDE12EE">
            <w:pPr>
              <w:keepNext w:val="0"/>
              <w:keepLines w:val="0"/>
              <w:pageBreakBefore w:val="0"/>
              <w:kinsoku w:val="0"/>
              <w:wordWrap/>
              <w:overflowPunct/>
              <w:topLinePunct w:val="0"/>
              <w:autoSpaceDE w:val="0"/>
              <w:autoSpaceDN w:val="0"/>
              <w:bidi w:val="0"/>
              <w:adjustRightInd w:val="0"/>
              <w:snapToGrid w:val="0"/>
              <w:spacing w:line="360" w:lineRule="auto"/>
              <w:rPr>
                <w:rStyle w:val="23"/>
                <w:rFonts w:hint="eastAsia" w:ascii="宋体" w:hAnsi="宋体" w:eastAsia="宋体" w:cs="宋体"/>
                <w:color w:val="auto"/>
                <w:sz w:val="24"/>
                <w:szCs w:val="24"/>
                <w:highlight w:val="none"/>
                <w:lang w:val="zh-CN" w:eastAsia="zh-CN" w:bidi="ar-SA"/>
              </w:rPr>
            </w:pPr>
            <w:r>
              <w:rPr>
                <w:rStyle w:val="23"/>
                <w:rFonts w:hint="eastAsia" w:ascii="宋体" w:hAnsi="宋体" w:eastAsia="宋体" w:cs="宋体"/>
                <w:color w:val="auto"/>
                <w:sz w:val="24"/>
                <w:szCs w:val="24"/>
                <w:highlight w:val="none"/>
                <w:lang w:val="zh-CN" w:eastAsia="zh-CN" w:bidi="ar-SA"/>
              </w:rPr>
              <w:t>系统需支持对医院其他相关信息系统的对接，并通过接口配置的方式实现接口的灵活对接，方便管理不同第三方系统的接入信息管理。</w:t>
            </w:r>
          </w:p>
        </w:tc>
      </w:tr>
    </w:tbl>
    <w:p w14:paraId="68BAA5D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bookmarkStart w:id="2" w:name="_Toc27940"/>
      <w:bookmarkStart w:id="3" w:name="_Toc32407"/>
      <w:r>
        <w:rPr>
          <w:rFonts w:hint="eastAsia" w:ascii="宋体" w:hAnsi="宋体" w:eastAsia="宋体" w:cs="宋体"/>
          <w:b/>
          <w:bCs/>
          <w:snapToGrid/>
          <w:color w:val="auto"/>
          <w:kern w:val="0"/>
          <w:sz w:val="24"/>
          <w:szCs w:val="24"/>
          <w:highlight w:val="none"/>
          <w:shd w:val="clear" w:color="auto" w:fill="auto"/>
          <w:lang w:val="en-US" w:eastAsia="zh-CN" w:bidi="ar-SA"/>
        </w:rPr>
        <w:t>2.低值耗材管理要求</w:t>
      </w:r>
      <w:bookmarkEnd w:id="2"/>
      <w:bookmarkEnd w:id="3"/>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763"/>
        <w:gridCol w:w="7212"/>
      </w:tblGrid>
      <w:tr w14:paraId="0898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3448942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序号</w:t>
            </w:r>
          </w:p>
        </w:tc>
        <w:tc>
          <w:tcPr>
            <w:tcW w:w="1763" w:type="dxa"/>
            <w:noWrap/>
            <w:vAlign w:val="center"/>
          </w:tcPr>
          <w:p w14:paraId="725DCF0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子功能</w:t>
            </w:r>
          </w:p>
        </w:tc>
        <w:tc>
          <w:tcPr>
            <w:tcW w:w="7212" w:type="dxa"/>
            <w:noWrap/>
            <w:vAlign w:val="center"/>
          </w:tcPr>
          <w:p w14:paraId="269881B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功能描述</w:t>
            </w:r>
          </w:p>
        </w:tc>
      </w:tr>
      <w:tr w14:paraId="6ED5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62D3597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w:t>
            </w:r>
          </w:p>
        </w:tc>
        <w:tc>
          <w:tcPr>
            <w:tcW w:w="1763" w:type="dxa"/>
            <w:noWrap/>
            <w:vAlign w:val="center"/>
          </w:tcPr>
          <w:p w14:paraId="5509CCE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单品种管理</w:t>
            </w:r>
          </w:p>
        </w:tc>
        <w:tc>
          <w:tcPr>
            <w:tcW w:w="7212" w:type="dxa"/>
            <w:noWrap/>
            <w:vAlign w:val="center"/>
          </w:tcPr>
          <w:p w14:paraId="535049E9">
            <w:pPr>
              <w:keepNext w:val="0"/>
              <w:keepLines w:val="0"/>
              <w:pageBreakBefore w:val="0"/>
              <w:widowControl/>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支持科室单独品种管理，临床科室或者设备科/医工部维护科室专用、通用耗材品种；支持科室耗材额及限量管理，可针对特殊品种进行限制申领管理。</w:t>
            </w:r>
          </w:p>
        </w:tc>
      </w:tr>
      <w:tr w14:paraId="22D6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1E3DCA5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w:t>
            </w:r>
          </w:p>
        </w:tc>
        <w:tc>
          <w:tcPr>
            <w:tcW w:w="1763" w:type="dxa"/>
            <w:noWrap/>
            <w:vAlign w:val="center"/>
          </w:tcPr>
          <w:p w14:paraId="6FE9A37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定数包管理</w:t>
            </w:r>
          </w:p>
        </w:tc>
        <w:tc>
          <w:tcPr>
            <w:tcW w:w="7212" w:type="dxa"/>
            <w:noWrap/>
            <w:vAlign w:val="center"/>
          </w:tcPr>
          <w:p w14:paraId="4690024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支持科室定数包管理，即低值耗材的定数包多种包装内含数的管理，不同的科室，定数包内含数及定数可根据科室实际情况进行设计和制定。</w:t>
            </w:r>
          </w:p>
        </w:tc>
      </w:tr>
      <w:tr w14:paraId="6FEB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6A43B1F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w:t>
            </w:r>
          </w:p>
        </w:tc>
        <w:tc>
          <w:tcPr>
            <w:tcW w:w="1763" w:type="dxa"/>
            <w:noWrap/>
            <w:vAlign w:val="center"/>
          </w:tcPr>
          <w:p w14:paraId="39D78E93">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常规业务管理</w:t>
            </w:r>
          </w:p>
        </w:tc>
        <w:tc>
          <w:tcPr>
            <w:tcW w:w="7212" w:type="dxa"/>
            <w:noWrap/>
            <w:vAlign w:val="center"/>
          </w:tcPr>
          <w:p w14:paraId="706B678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支持科室低值常规业务管理，包括申领（周期申领及紧急情况下的申领）、审核、退货、库存查询等基本功能；提供PDA盘点功能，支持盘点数据的断点传输；支持科室耗材主动配送、扫码验收、扫码消耗等。</w:t>
            </w:r>
          </w:p>
        </w:tc>
      </w:tr>
      <w:tr w14:paraId="66B2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0A97752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4</w:t>
            </w:r>
          </w:p>
        </w:tc>
        <w:tc>
          <w:tcPr>
            <w:tcW w:w="1763" w:type="dxa"/>
            <w:noWrap/>
            <w:vAlign w:val="center"/>
          </w:tcPr>
          <w:p w14:paraId="12B204B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调拨管理</w:t>
            </w:r>
          </w:p>
        </w:tc>
        <w:tc>
          <w:tcPr>
            <w:tcW w:w="7212" w:type="dxa"/>
            <w:noWrap/>
            <w:vAlign w:val="center"/>
          </w:tcPr>
          <w:p w14:paraId="013142B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支持耗材调拨，实现不同科室间的低值耗材的借调及使用，并保留调拨轨迹。</w:t>
            </w:r>
          </w:p>
        </w:tc>
      </w:tr>
      <w:tr w14:paraId="6370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1DFC540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5</w:t>
            </w:r>
          </w:p>
        </w:tc>
        <w:tc>
          <w:tcPr>
            <w:tcW w:w="1763" w:type="dxa"/>
            <w:noWrap/>
            <w:vAlign w:val="center"/>
          </w:tcPr>
          <w:p w14:paraId="64DD0C3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证照预警管理</w:t>
            </w:r>
          </w:p>
        </w:tc>
        <w:tc>
          <w:tcPr>
            <w:tcW w:w="7212" w:type="dxa"/>
            <w:noWrap/>
            <w:vAlign w:val="center"/>
          </w:tcPr>
          <w:p w14:paraId="6CD9DE7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支持收货验收、定数包生产、定数包消耗时电子证照自动对比与预警</w:t>
            </w:r>
          </w:p>
        </w:tc>
      </w:tr>
      <w:tr w14:paraId="381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105F957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6</w:t>
            </w:r>
          </w:p>
        </w:tc>
        <w:tc>
          <w:tcPr>
            <w:tcW w:w="1763" w:type="dxa"/>
            <w:noWrap/>
            <w:vAlign w:val="center"/>
          </w:tcPr>
          <w:p w14:paraId="60FA2A3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科室三级库管理</w:t>
            </w:r>
          </w:p>
        </w:tc>
        <w:tc>
          <w:tcPr>
            <w:tcW w:w="7212" w:type="dxa"/>
            <w:noWrap/>
            <w:vAlign w:val="center"/>
          </w:tcPr>
          <w:p w14:paraId="08B998C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支持科室对三级库设备进行管理、对低值领用消耗及库存管理进行明细查看，根据三级库库存生成科室三级库月度消耗数据报表，包含实际耗材与系统耗材数量差异率分析。</w:t>
            </w:r>
          </w:p>
        </w:tc>
      </w:tr>
      <w:tr w14:paraId="7D7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4989FBE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7</w:t>
            </w:r>
          </w:p>
        </w:tc>
        <w:tc>
          <w:tcPr>
            <w:tcW w:w="1763" w:type="dxa"/>
            <w:noWrap/>
            <w:vAlign w:val="center"/>
          </w:tcPr>
          <w:p w14:paraId="702795E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门诊二级库管理</w:t>
            </w:r>
          </w:p>
        </w:tc>
        <w:tc>
          <w:tcPr>
            <w:tcW w:w="7212" w:type="dxa"/>
            <w:noWrap/>
            <w:vAlign w:val="center"/>
          </w:tcPr>
          <w:p w14:paraId="4D7F21D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支持门诊耗材归集管理，统一发料至指定地点，作为二级库进销管理。</w:t>
            </w:r>
          </w:p>
          <w:p w14:paraId="59E3E9B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支持凭医嘱缴费单扫码领用门诊耗材，根据库存上下限自动生成备货计划。</w:t>
            </w:r>
          </w:p>
          <w:p w14:paraId="4B12552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支持接收医嘱开单信息，扫码发料后，库存信息回传HIS系统。</w:t>
            </w:r>
          </w:p>
          <w:p w14:paraId="7F10A54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支持耗材管理系统库存与医嘱收费信息比对分析。</w:t>
            </w:r>
          </w:p>
        </w:tc>
      </w:tr>
      <w:tr w14:paraId="6320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1D6626B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8</w:t>
            </w:r>
          </w:p>
        </w:tc>
        <w:tc>
          <w:tcPr>
            <w:tcW w:w="1763" w:type="dxa"/>
            <w:noWrap/>
            <w:vAlign w:val="center"/>
          </w:tcPr>
          <w:p w14:paraId="45D78DE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HIS计费对接</w:t>
            </w:r>
          </w:p>
        </w:tc>
        <w:tc>
          <w:tcPr>
            <w:tcW w:w="7212" w:type="dxa"/>
            <w:noWrap/>
            <w:vAlign w:val="center"/>
          </w:tcPr>
          <w:p w14:paraId="22E100F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eastAsia="zh-CN" w:bidi="ar-SA"/>
              </w:rPr>
            </w:pPr>
            <w:r>
              <w:rPr>
                <w:rStyle w:val="23"/>
                <w:rFonts w:hint="eastAsia" w:ascii="宋体" w:hAnsi="宋体" w:eastAsia="宋体" w:cs="宋体"/>
                <w:bCs/>
                <w:color w:val="auto"/>
                <w:sz w:val="24"/>
                <w:szCs w:val="24"/>
                <w:highlight w:val="none"/>
                <w:lang w:val="en-US" w:eastAsia="zh-CN" w:bidi="ar-SA"/>
              </w:rPr>
              <w:t>低值非收费耗材管理方式需与HIS系统计费项目或医嘱关联，满足病人计费与</w:t>
            </w:r>
            <w:r>
              <w:rPr>
                <w:rStyle w:val="23"/>
                <w:rFonts w:hint="eastAsia" w:ascii="宋体" w:hAnsi="宋体" w:eastAsia="宋体" w:cs="宋体"/>
                <w:bCs/>
                <w:color w:val="auto"/>
                <w:sz w:val="24"/>
                <w:szCs w:val="24"/>
                <w:highlight w:val="none"/>
                <w:lang w:eastAsia="zh-CN" w:bidi="ar-SA"/>
              </w:rPr>
              <w:t>耗材库存扣减相关联，满足三级库管理要求。</w:t>
            </w:r>
          </w:p>
        </w:tc>
      </w:tr>
      <w:tr w14:paraId="1643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3F41307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leftChars="0"/>
              <w:rPr>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9</w:t>
            </w:r>
          </w:p>
        </w:tc>
        <w:tc>
          <w:tcPr>
            <w:tcW w:w="1763" w:type="dxa"/>
            <w:noWrap/>
            <w:vAlign w:val="center"/>
          </w:tcPr>
          <w:p w14:paraId="6103883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报损/报溢管理</w:t>
            </w:r>
          </w:p>
        </w:tc>
        <w:tc>
          <w:tcPr>
            <w:tcW w:w="7212" w:type="dxa"/>
            <w:noWrap/>
            <w:vAlign w:val="center"/>
          </w:tcPr>
          <w:p w14:paraId="15C93F8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支持完成报损/报溢流程。</w:t>
            </w:r>
          </w:p>
        </w:tc>
      </w:tr>
    </w:tbl>
    <w:p w14:paraId="08A152F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3.后勤物资管理要求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585"/>
        <w:gridCol w:w="7390"/>
      </w:tblGrid>
      <w:tr w14:paraId="2816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3BFCADE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序号</w:t>
            </w:r>
          </w:p>
        </w:tc>
        <w:tc>
          <w:tcPr>
            <w:tcW w:w="1585" w:type="dxa"/>
            <w:noWrap/>
            <w:vAlign w:val="center"/>
          </w:tcPr>
          <w:p w14:paraId="59C245E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子功能</w:t>
            </w:r>
          </w:p>
        </w:tc>
        <w:tc>
          <w:tcPr>
            <w:tcW w:w="7390" w:type="dxa"/>
            <w:noWrap/>
            <w:vAlign w:val="center"/>
          </w:tcPr>
          <w:p w14:paraId="5EEF859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功能描述</w:t>
            </w:r>
          </w:p>
        </w:tc>
      </w:tr>
      <w:tr w14:paraId="080E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3443B0E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w:t>
            </w:r>
          </w:p>
        </w:tc>
        <w:tc>
          <w:tcPr>
            <w:tcW w:w="1585" w:type="dxa"/>
            <w:noWrap/>
            <w:vAlign w:val="center"/>
          </w:tcPr>
          <w:p w14:paraId="296D0C6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产品资料管理</w:t>
            </w:r>
          </w:p>
        </w:tc>
        <w:tc>
          <w:tcPr>
            <w:tcW w:w="7390" w:type="dxa"/>
            <w:noWrap/>
            <w:vAlign w:val="center"/>
          </w:tcPr>
          <w:p w14:paraId="1819E51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全面记录产品信息，可以在系统内查看到产品的基本信息、主供应商、采购明细、出库明细、库存情况（各项信息的查看权限和查看范围受权限控制）。</w:t>
            </w:r>
          </w:p>
        </w:tc>
      </w:tr>
      <w:tr w14:paraId="1CE3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4EE473C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w:t>
            </w:r>
          </w:p>
        </w:tc>
        <w:tc>
          <w:tcPr>
            <w:tcW w:w="1585" w:type="dxa"/>
            <w:noWrap/>
            <w:vAlign w:val="center"/>
          </w:tcPr>
          <w:p w14:paraId="5CA3735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both"/>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常规业务管理</w:t>
            </w:r>
          </w:p>
        </w:tc>
        <w:tc>
          <w:tcPr>
            <w:tcW w:w="7390" w:type="dxa"/>
            <w:noWrap/>
            <w:vAlign w:val="center"/>
          </w:tcPr>
          <w:p w14:paraId="3D47009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支持科室后勤物资常规业务管理，包括申领、审核、退货、库存查询等基本功能；提供PDA盘点功能，支持盘点数据的断点传输；支持科室耗材主动配送。</w:t>
            </w:r>
          </w:p>
        </w:tc>
      </w:tr>
      <w:tr w14:paraId="35A4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0A91FA2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w:t>
            </w:r>
          </w:p>
        </w:tc>
        <w:tc>
          <w:tcPr>
            <w:tcW w:w="1585" w:type="dxa"/>
            <w:noWrap/>
            <w:vAlign w:val="center"/>
          </w:tcPr>
          <w:p w14:paraId="789D378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入库管理</w:t>
            </w:r>
          </w:p>
        </w:tc>
        <w:tc>
          <w:tcPr>
            <w:tcW w:w="7390" w:type="dxa"/>
            <w:noWrap/>
            <w:vAlign w:val="center"/>
          </w:tcPr>
          <w:p w14:paraId="7A4E7D2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入库申请与审批，支持扫码入库，可以逐一或批量设置入库产品的生产批号和序列号，可以逐一或批量设置入库产品的生产期和有效期，分为直接入库、采购入库、退货入库、调拨入库等多种入库类别。</w:t>
            </w:r>
          </w:p>
        </w:tc>
      </w:tr>
      <w:tr w14:paraId="7F30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7DCE2F6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4</w:t>
            </w:r>
          </w:p>
        </w:tc>
        <w:tc>
          <w:tcPr>
            <w:tcW w:w="1585" w:type="dxa"/>
            <w:noWrap/>
            <w:vAlign w:val="center"/>
          </w:tcPr>
          <w:p w14:paraId="09A8D68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出库管理</w:t>
            </w:r>
          </w:p>
        </w:tc>
        <w:tc>
          <w:tcPr>
            <w:tcW w:w="7390" w:type="dxa"/>
            <w:noWrap/>
            <w:vAlign w:val="center"/>
          </w:tcPr>
          <w:p w14:paraId="1D09B02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申领出库申请与审批、可以随机出库，也可以按照批次、序列号或保质期指定产品出库、自动显示产品库存信息、分为直接出库、调拨出库等多种出库类别、支持批量确认出库。</w:t>
            </w:r>
          </w:p>
        </w:tc>
      </w:tr>
      <w:tr w14:paraId="1C4F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22B4469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5</w:t>
            </w:r>
          </w:p>
        </w:tc>
        <w:tc>
          <w:tcPr>
            <w:tcW w:w="1585" w:type="dxa"/>
            <w:noWrap/>
            <w:vAlign w:val="center"/>
          </w:tcPr>
          <w:p w14:paraId="00E4B57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库存统计分析</w:t>
            </w:r>
          </w:p>
        </w:tc>
        <w:tc>
          <w:tcPr>
            <w:tcW w:w="7390" w:type="dxa"/>
            <w:noWrap/>
            <w:vAlign w:val="center"/>
          </w:tcPr>
          <w:p w14:paraId="1CA2CAB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支持产品库存汇总、明细模式统计 ；支持库存变动汇总、明细模式统计分析；支持入库、出库、调拨等统计。</w:t>
            </w:r>
          </w:p>
        </w:tc>
      </w:tr>
      <w:tr w14:paraId="4341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3D59A89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leftChars="0"/>
              <w:rPr>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6</w:t>
            </w:r>
          </w:p>
        </w:tc>
        <w:tc>
          <w:tcPr>
            <w:tcW w:w="1585" w:type="dxa"/>
            <w:noWrap/>
            <w:vAlign w:val="center"/>
          </w:tcPr>
          <w:p w14:paraId="381818B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报损/报溢管理</w:t>
            </w:r>
          </w:p>
        </w:tc>
        <w:tc>
          <w:tcPr>
            <w:tcW w:w="7390" w:type="dxa"/>
            <w:noWrap/>
            <w:vAlign w:val="center"/>
          </w:tcPr>
          <w:p w14:paraId="01F85223">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支持完成报损/报溢流程。</w:t>
            </w:r>
          </w:p>
        </w:tc>
      </w:tr>
    </w:tbl>
    <w:p w14:paraId="5767FEC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bookmarkStart w:id="4" w:name="_Toc29055"/>
      <w:bookmarkStart w:id="5" w:name="_Toc31522"/>
      <w:r>
        <w:rPr>
          <w:rFonts w:hint="eastAsia" w:ascii="宋体" w:hAnsi="宋体" w:eastAsia="宋体" w:cs="宋体"/>
          <w:b/>
          <w:bCs/>
          <w:snapToGrid/>
          <w:color w:val="auto"/>
          <w:kern w:val="0"/>
          <w:sz w:val="24"/>
          <w:szCs w:val="24"/>
          <w:highlight w:val="none"/>
          <w:shd w:val="clear" w:color="auto" w:fill="auto"/>
          <w:lang w:val="en-US" w:eastAsia="zh-CN" w:bidi="ar-SA"/>
        </w:rPr>
        <w:t>4.高值耗材管理要求</w:t>
      </w:r>
      <w:bookmarkEnd w:id="4"/>
      <w:bookmarkEnd w:id="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763"/>
        <w:gridCol w:w="7212"/>
      </w:tblGrid>
      <w:tr w14:paraId="2027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59E3C2F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序号</w:t>
            </w:r>
          </w:p>
        </w:tc>
        <w:tc>
          <w:tcPr>
            <w:tcW w:w="1763" w:type="dxa"/>
            <w:noWrap/>
            <w:vAlign w:val="center"/>
          </w:tcPr>
          <w:p w14:paraId="213C604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子功能</w:t>
            </w:r>
          </w:p>
        </w:tc>
        <w:tc>
          <w:tcPr>
            <w:tcW w:w="7212" w:type="dxa"/>
            <w:noWrap/>
            <w:vAlign w:val="center"/>
          </w:tcPr>
          <w:p w14:paraId="0AF94FE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功能描述</w:t>
            </w:r>
          </w:p>
        </w:tc>
      </w:tr>
      <w:tr w14:paraId="0FBE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3EACCA9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w:t>
            </w:r>
          </w:p>
        </w:tc>
        <w:tc>
          <w:tcPr>
            <w:tcW w:w="1763" w:type="dxa"/>
            <w:noWrap/>
            <w:vAlign w:val="center"/>
          </w:tcPr>
          <w:p w14:paraId="24AD7F0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手术采购管理</w:t>
            </w:r>
          </w:p>
        </w:tc>
        <w:tc>
          <w:tcPr>
            <w:tcW w:w="7212" w:type="dxa"/>
            <w:noWrap/>
            <w:vAlign w:val="center"/>
          </w:tcPr>
          <w:p w14:paraId="426DA3A3">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支持手术室发起采购申请，通过审核后由医院按照采购流程实施采购，并能实时查询采购进度。</w:t>
            </w:r>
          </w:p>
        </w:tc>
      </w:tr>
      <w:tr w14:paraId="54E7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7218C3B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w:t>
            </w:r>
          </w:p>
        </w:tc>
        <w:tc>
          <w:tcPr>
            <w:tcW w:w="1763" w:type="dxa"/>
            <w:noWrap/>
            <w:vAlign w:val="center"/>
          </w:tcPr>
          <w:p w14:paraId="02AA910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手术组套管理</w:t>
            </w:r>
          </w:p>
        </w:tc>
        <w:tc>
          <w:tcPr>
            <w:tcW w:w="7212" w:type="dxa"/>
            <w:noWrap/>
            <w:vAlign w:val="center"/>
          </w:tcPr>
          <w:p w14:paraId="46AA171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支持手术申请单申请。</w:t>
            </w:r>
          </w:p>
          <w:p w14:paraId="56B6CA1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支持手术申请单在线审核。</w:t>
            </w:r>
          </w:p>
          <w:p w14:paraId="1D9E653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支持手术申请单扫码验收、扫码接收。</w:t>
            </w:r>
          </w:p>
        </w:tc>
      </w:tr>
      <w:tr w14:paraId="2797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1975DFF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w:t>
            </w:r>
          </w:p>
        </w:tc>
        <w:tc>
          <w:tcPr>
            <w:tcW w:w="1763" w:type="dxa"/>
            <w:noWrap/>
            <w:vAlign w:val="center"/>
          </w:tcPr>
          <w:p w14:paraId="761F06E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寄售类库存管理</w:t>
            </w:r>
          </w:p>
        </w:tc>
        <w:tc>
          <w:tcPr>
            <w:tcW w:w="7212" w:type="dxa"/>
            <w:noWrap/>
            <w:vAlign w:val="center"/>
          </w:tcPr>
          <w:p w14:paraId="1426BB5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支持科室库存设置和管控。</w:t>
            </w:r>
          </w:p>
          <w:p w14:paraId="3404E93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支持院内退货管理。</w:t>
            </w:r>
          </w:p>
          <w:p w14:paraId="14D0343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支持PDA动态盘点。</w:t>
            </w:r>
          </w:p>
        </w:tc>
      </w:tr>
      <w:tr w14:paraId="7B63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53FB8AF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4</w:t>
            </w:r>
          </w:p>
        </w:tc>
        <w:tc>
          <w:tcPr>
            <w:tcW w:w="1763" w:type="dxa"/>
            <w:noWrap/>
            <w:vAlign w:val="center"/>
          </w:tcPr>
          <w:p w14:paraId="4F33B76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清台及退回管理</w:t>
            </w:r>
          </w:p>
        </w:tc>
        <w:tc>
          <w:tcPr>
            <w:tcW w:w="7212" w:type="dxa"/>
            <w:noWrap/>
            <w:vAlign w:val="center"/>
          </w:tcPr>
          <w:p w14:paraId="55F390C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支持骨科耗材的快速清台及回退操作。</w:t>
            </w:r>
          </w:p>
        </w:tc>
      </w:tr>
      <w:tr w14:paraId="66A4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16C75CC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5</w:t>
            </w:r>
          </w:p>
        </w:tc>
        <w:tc>
          <w:tcPr>
            <w:tcW w:w="1763" w:type="dxa"/>
            <w:noWrap/>
            <w:vAlign w:val="center"/>
          </w:tcPr>
          <w:p w14:paraId="27C0949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跟台手术管理</w:t>
            </w:r>
          </w:p>
        </w:tc>
        <w:tc>
          <w:tcPr>
            <w:tcW w:w="7212" w:type="dxa"/>
            <w:noWrap/>
            <w:vAlign w:val="center"/>
          </w:tcPr>
          <w:p w14:paraId="16B19DB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支持骨科跟台耗材的管理，1个手术包可包含多个耗材，并可自行维护。</w:t>
            </w:r>
          </w:p>
        </w:tc>
      </w:tr>
      <w:tr w14:paraId="13BA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255DDAF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6</w:t>
            </w:r>
          </w:p>
        </w:tc>
        <w:tc>
          <w:tcPr>
            <w:tcW w:w="1763" w:type="dxa"/>
            <w:noWrap/>
            <w:vAlign w:val="center"/>
          </w:tcPr>
          <w:p w14:paraId="45B167D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UDI码管理</w:t>
            </w:r>
          </w:p>
        </w:tc>
        <w:tc>
          <w:tcPr>
            <w:tcW w:w="7212" w:type="dxa"/>
            <w:noWrap/>
            <w:vAlign w:val="center"/>
          </w:tcPr>
          <w:p w14:paraId="672EB89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支持基于UDI码的高值耗材扫码验收，并支持基于UDI码的院内从采购入库、制标到终端患者使用的全流程追溯管理。</w:t>
            </w:r>
          </w:p>
          <w:p w14:paraId="3F252F5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（需提供UDI识别功能及与国家UDI数据库对接的证明材料）</w:t>
            </w:r>
          </w:p>
        </w:tc>
      </w:tr>
      <w:tr w14:paraId="65CE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6B60A6C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7</w:t>
            </w:r>
          </w:p>
        </w:tc>
        <w:tc>
          <w:tcPr>
            <w:tcW w:w="1763" w:type="dxa"/>
            <w:noWrap/>
            <w:vAlign w:val="center"/>
          </w:tcPr>
          <w:p w14:paraId="4A227A0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关联计费</w:t>
            </w:r>
          </w:p>
        </w:tc>
        <w:tc>
          <w:tcPr>
            <w:tcW w:w="7212" w:type="dxa"/>
            <w:noWrap/>
            <w:vAlign w:val="center"/>
          </w:tcPr>
          <w:p w14:paraId="5C48EA4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支持HIS端扫码计费，通过SPD与HIS标准接口，完成患者信息、手术信息、手术排程信息、高值耗材手术绑定、高值耗材计费等数据同步，实现高值耗材使用、计费、患者关联等数据关联、追溯。</w:t>
            </w:r>
          </w:p>
        </w:tc>
      </w:tr>
      <w:tr w14:paraId="0D0D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2" w:type="dxa"/>
            <w:noWrap/>
            <w:vAlign w:val="center"/>
          </w:tcPr>
          <w:p w14:paraId="45BC934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8</w:t>
            </w:r>
          </w:p>
        </w:tc>
        <w:tc>
          <w:tcPr>
            <w:tcW w:w="1763" w:type="dxa"/>
            <w:noWrap/>
            <w:vAlign w:val="center"/>
          </w:tcPr>
          <w:p w14:paraId="7E4C5E1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智能设备集成管理</w:t>
            </w:r>
          </w:p>
        </w:tc>
        <w:tc>
          <w:tcPr>
            <w:tcW w:w="7212" w:type="dxa"/>
            <w:noWrap/>
            <w:vAlign w:val="center"/>
          </w:tcPr>
          <w:p w14:paraId="4C0702B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支持寄售类高值耗材全流程追溯管理，包括患者追溯及上游供应商追溯，支持基于RFID技术的高值耗材智能柜、智能库集成管理。</w:t>
            </w:r>
          </w:p>
        </w:tc>
      </w:tr>
    </w:tbl>
    <w:p w14:paraId="5FDA683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bookmarkStart w:id="6" w:name="_Toc2995"/>
      <w:bookmarkStart w:id="7" w:name="_Toc6697"/>
      <w:r>
        <w:rPr>
          <w:rFonts w:hint="eastAsia" w:ascii="宋体" w:hAnsi="宋体" w:eastAsia="宋体" w:cs="宋体"/>
          <w:b/>
          <w:bCs/>
          <w:snapToGrid/>
          <w:color w:val="auto"/>
          <w:kern w:val="0"/>
          <w:sz w:val="24"/>
          <w:szCs w:val="24"/>
          <w:highlight w:val="none"/>
          <w:shd w:val="clear" w:color="auto" w:fill="auto"/>
          <w:lang w:val="en-US" w:eastAsia="zh-CN" w:bidi="ar-SA"/>
        </w:rPr>
        <w:t>5.检验试剂管理要求</w:t>
      </w:r>
      <w:bookmarkEnd w:id="6"/>
      <w:bookmarkEnd w:id="7"/>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782"/>
        <w:gridCol w:w="7193"/>
      </w:tblGrid>
      <w:tr w14:paraId="36F9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E257C8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both"/>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序号</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0C559A4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jc w:val="both"/>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子功能</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3C531BB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功能描述</w:t>
            </w:r>
          </w:p>
        </w:tc>
      </w:tr>
      <w:tr w14:paraId="720E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3CFEEC0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065841B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采购管理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6B7A4DE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根据设定库存安全值，自动生成补货预警，实现一键确认生成补货采购计划。</w:t>
            </w:r>
          </w:p>
          <w:p w14:paraId="1BBA639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根据使用消耗、缺货登记等现状，自动生成采购计划。</w:t>
            </w:r>
          </w:p>
          <w:p w14:paraId="33FBB3A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支持采购单的拆分、导出和打印。</w:t>
            </w:r>
          </w:p>
        </w:tc>
      </w:tr>
      <w:tr w14:paraId="7B33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3BF560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3B7463E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验收入库管理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38AFB19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支持诊断试剂入库验收、近效期自动提醒及冷链信息录入。</w:t>
            </w:r>
          </w:p>
          <w:p w14:paraId="3BA35EF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诊断试剂验收后系统支持打印批次码，实现诊断试剂赋码管理。</w:t>
            </w:r>
          </w:p>
        </w:tc>
      </w:tr>
      <w:tr w14:paraId="293E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E920B8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7E86CE5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专业组申领管理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3DE1653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支持按组申领，自动校验批号，并推荐上次领用批号。</w:t>
            </w:r>
          </w:p>
          <w:p w14:paraId="4A3C457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支持多级审批流程配置，审批不通过，科室人员在系统上修改后重新提交。</w:t>
            </w:r>
          </w:p>
          <w:p w14:paraId="32DFB95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支持设置定时任务，自动生成补货计划，智能补货。</w:t>
            </w:r>
          </w:p>
        </w:tc>
      </w:tr>
      <w:tr w14:paraId="6BD9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102024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4</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204FA34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出库管理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042F33D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支持试剂进行最小包装单位的一物一码的加工赋码。</w:t>
            </w:r>
          </w:p>
          <w:p w14:paraId="764C2D5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支持赋码单位提前设置，免除包装单位转换。</w:t>
            </w:r>
          </w:p>
        </w:tc>
      </w:tr>
      <w:tr w14:paraId="4B27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764D49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5</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45CFAA9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科室签收管理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5096D94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支持通过PDA扫描出库单签收入库，系统自动判断批号是否一致。</w:t>
            </w:r>
          </w:p>
          <w:p w14:paraId="40730CE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支持加工推送按照单据，完全一致，严格保供。</w:t>
            </w:r>
          </w:p>
          <w:p w14:paraId="7292057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支持科室一键确认上架，不需录入信息。</w:t>
            </w:r>
          </w:p>
        </w:tc>
      </w:tr>
      <w:tr w14:paraId="29B3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C5323F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6</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7209259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智能设备集成管理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2EF7E89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支持检验试剂智能柜管理，能够对温度、效期等进行实时监控及记录，具有近效期报警，温度报警等；</w:t>
            </w:r>
          </w:p>
        </w:tc>
      </w:tr>
      <w:tr w14:paraId="1593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09C81B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7</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3E92942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领用消耗管理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582D2EB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支持扫码领用消耗。</w:t>
            </w:r>
          </w:p>
          <w:p w14:paraId="442658C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支持领用消耗查询及试剂追溯查询，通过消耗码追溯领用人、领用时间、领用批号、效期、开盒效期等。</w:t>
            </w:r>
          </w:p>
        </w:tc>
      </w:tr>
      <w:tr w14:paraId="4ADC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E614F3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8</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6CD0E8E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库存管理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3A5569C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支持科室库存设置和管控。</w:t>
            </w:r>
          </w:p>
          <w:p w14:paraId="1ED6F10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支持院内退货管理。</w:t>
            </w:r>
          </w:p>
          <w:p w14:paraId="195E0AB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支持PDA动态盘点。</w:t>
            </w:r>
          </w:p>
        </w:tc>
      </w:tr>
      <w:tr w14:paraId="63D4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32A3C48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9</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2848446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报损/报溢管理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2294142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支持完成报损/报溢流程。</w:t>
            </w:r>
          </w:p>
        </w:tc>
      </w:tr>
      <w:tr w14:paraId="66F1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6147E4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10</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67688D3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效期预警管理</w:t>
            </w:r>
          </w:p>
        </w:tc>
        <w:tc>
          <w:tcPr>
            <w:tcW w:w="7193" w:type="dxa"/>
            <w:tcBorders>
              <w:top w:val="single" w:color="000000" w:sz="4" w:space="0"/>
              <w:left w:val="single" w:color="000000" w:sz="4" w:space="0"/>
              <w:bottom w:val="single" w:color="000000" w:sz="4" w:space="0"/>
              <w:right w:val="single" w:color="000000" w:sz="4" w:space="0"/>
            </w:tcBorders>
            <w:noWrap/>
            <w:vAlign w:val="center"/>
          </w:tcPr>
          <w:p w14:paraId="6A6B3AB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支持生成近效期预警库存记录。</w:t>
            </w:r>
          </w:p>
          <w:p w14:paraId="32A1F42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支持近效期自动预警。</w:t>
            </w:r>
          </w:p>
        </w:tc>
      </w:tr>
    </w:tbl>
    <w:p w14:paraId="56A2AE0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bookmarkStart w:id="8" w:name="_Toc14742"/>
      <w:bookmarkStart w:id="9" w:name="_Toc9295"/>
      <w:r>
        <w:rPr>
          <w:rFonts w:hint="eastAsia" w:ascii="宋体" w:hAnsi="宋体" w:eastAsia="宋体" w:cs="宋体"/>
          <w:b/>
          <w:bCs/>
          <w:snapToGrid/>
          <w:color w:val="auto"/>
          <w:kern w:val="0"/>
          <w:sz w:val="24"/>
          <w:szCs w:val="24"/>
          <w:highlight w:val="none"/>
          <w:shd w:val="clear" w:color="auto" w:fill="auto"/>
          <w:lang w:val="en-US" w:eastAsia="zh-CN" w:bidi="ar-SA"/>
        </w:rPr>
        <w:t>6.结算管理要求</w:t>
      </w:r>
      <w:bookmarkEnd w:id="8"/>
      <w:bookmarkEnd w:id="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1462"/>
        <w:gridCol w:w="7425"/>
      </w:tblGrid>
      <w:tr w14:paraId="0FC4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5336B00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序号</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0CAF092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子功能</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3B2AF01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功能描述</w:t>
            </w:r>
          </w:p>
        </w:tc>
      </w:tr>
      <w:tr w14:paraId="6106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07CE170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74415EC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结算单管理</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003C839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zh-CN" w:eastAsia="zh-CN" w:bidi="ar-SA"/>
              </w:rPr>
              <w:t>提供</w:t>
            </w:r>
            <w:r>
              <w:rPr>
                <w:rStyle w:val="23"/>
                <w:rFonts w:hint="eastAsia" w:ascii="宋体" w:hAnsi="宋体" w:eastAsia="宋体" w:cs="宋体"/>
                <w:bCs/>
                <w:color w:val="auto"/>
                <w:sz w:val="24"/>
                <w:szCs w:val="24"/>
                <w:highlight w:val="none"/>
                <w:lang w:val="en-US" w:eastAsia="zh-CN" w:bidi="ar-SA"/>
              </w:rPr>
              <w:t>结算单</w:t>
            </w:r>
            <w:r>
              <w:rPr>
                <w:rStyle w:val="23"/>
                <w:rFonts w:hint="eastAsia" w:ascii="宋体" w:hAnsi="宋体" w:eastAsia="宋体" w:cs="宋体"/>
                <w:bCs/>
                <w:color w:val="auto"/>
                <w:sz w:val="24"/>
                <w:szCs w:val="24"/>
                <w:highlight w:val="none"/>
                <w:lang w:val="zh-CN" w:eastAsia="zh-CN" w:bidi="ar-SA"/>
              </w:rPr>
              <w:t>的全程跟踪管理功能，可以产生医院结算单据，并完成</w:t>
            </w:r>
            <w:r>
              <w:rPr>
                <w:rStyle w:val="23"/>
                <w:rFonts w:hint="eastAsia" w:ascii="宋体" w:hAnsi="宋体" w:eastAsia="宋体" w:cs="宋体"/>
                <w:bCs/>
                <w:color w:val="auto"/>
                <w:sz w:val="24"/>
                <w:szCs w:val="24"/>
                <w:highlight w:val="none"/>
                <w:lang w:val="en-US" w:eastAsia="zh-CN" w:bidi="ar-SA"/>
              </w:rPr>
              <w:t>结算</w:t>
            </w:r>
            <w:r>
              <w:rPr>
                <w:rStyle w:val="23"/>
                <w:rFonts w:hint="eastAsia" w:ascii="宋体" w:hAnsi="宋体" w:eastAsia="宋体" w:cs="宋体"/>
                <w:bCs/>
                <w:color w:val="auto"/>
                <w:sz w:val="24"/>
                <w:szCs w:val="24"/>
                <w:highlight w:val="none"/>
                <w:lang w:val="zh-CN" w:eastAsia="zh-CN" w:bidi="ar-SA"/>
              </w:rPr>
              <w:t>单据的审核。</w:t>
            </w:r>
          </w:p>
        </w:tc>
      </w:tr>
      <w:tr w14:paraId="3612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4B104B1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6B9490B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zh-CN" w:eastAsia="zh-CN" w:bidi="ar-SA"/>
              </w:rPr>
              <w:t>发票管理功能</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7A17DFA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zh-CN" w:eastAsia="zh-CN" w:bidi="ar-SA"/>
              </w:rPr>
            </w:pPr>
            <w:r>
              <w:rPr>
                <w:rStyle w:val="23"/>
                <w:rFonts w:hint="eastAsia" w:ascii="宋体" w:hAnsi="宋体" w:eastAsia="宋体" w:cs="宋体"/>
                <w:bCs/>
                <w:color w:val="auto"/>
                <w:sz w:val="24"/>
                <w:szCs w:val="24"/>
                <w:highlight w:val="none"/>
                <w:lang w:val="en-US" w:eastAsia="zh-CN" w:bidi="ar-SA"/>
              </w:rPr>
              <w:t>1.</w:t>
            </w:r>
            <w:r>
              <w:rPr>
                <w:rStyle w:val="23"/>
                <w:rFonts w:hint="eastAsia" w:ascii="宋体" w:hAnsi="宋体" w:eastAsia="宋体" w:cs="宋体"/>
                <w:bCs/>
                <w:color w:val="auto"/>
                <w:sz w:val="24"/>
                <w:szCs w:val="24"/>
                <w:highlight w:val="none"/>
                <w:lang w:val="zh-CN" w:eastAsia="zh-CN" w:bidi="ar-SA"/>
              </w:rPr>
              <w:t>支持单张发票关联多个批次或单个批次多张发票。</w:t>
            </w:r>
          </w:p>
          <w:p w14:paraId="3CE50C7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2.支持发票的审核确认</w:t>
            </w:r>
          </w:p>
          <w:p w14:paraId="6D7C5BE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3.支持根据结算单生成一张或者多张发票</w:t>
            </w:r>
          </w:p>
        </w:tc>
      </w:tr>
      <w:tr w14:paraId="023A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74AD458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391D7D8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zh-CN" w:eastAsia="zh-CN" w:bidi="ar-SA"/>
              </w:rPr>
              <w:t>发票补登</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55D8269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zh-CN" w:eastAsia="zh-CN" w:bidi="ar-SA"/>
              </w:rPr>
              <w:t>支持供应商发票登记、补登等功能。</w:t>
            </w:r>
          </w:p>
        </w:tc>
      </w:tr>
      <w:tr w14:paraId="3269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25A64D0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zh-CN" w:eastAsia="zh-CN" w:bidi="ar-SA"/>
              </w:rPr>
            </w:pPr>
            <w:r>
              <w:rPr>
                <w:rStyle w:val="23"/>
                <w:rFonts w:hint="eastAsia" w:ascii="宋体" w:hAnsi="宋体" w:eastAsia="宋体" w:cs="宋体"/>
                <w:bCs/>
                <w:color w:val="auto"/>
                <w:sz w:val="24"/>
                <w:szCs w:val="24"/>
                <w:highlight w:val="none"/>
                <w:lang w:val="en-US" w:eastAsia="zh-CN" w:bidi="ar-SA"/>
              </w:rPr>
              <w:t>4</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11E4187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zh-CN" w:eastAsia="zh-CN" w:bidi="ar-SA"/>
              </w:rPr>
            </w:pPr>
            <w:r>
              <w:rPr>
                <w:rStyle w:val="23"/>
                <w:rFonts w:hint="eastAsia" w:ascii="宋体" w:hAnsi="宋体" w:eastAsia="宋体" w:cs="宋体"/>
                <w:bCs/>
                <w:color w:val="auto"/>
                <w:sz w:val="24"/>
                <w:szCs w:val="24"/>
                <w:highlight w:val="none"/>
                <w:lang w:val="zh-CN" w:eastAsia="zh-CN" w:bidi="ar-SA"/>
              </w:rPr>
              <w:t>财务报表功能</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7A2EA82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zh-CN" w:eastAsia="zh-CN" w:bidi="ar-SA"/>
              </w:rPr>
            </w:pPr>
            <w:r>
              <w:rPr>
                <w:rStyle w:val="23"/>
                <w:rFonts w:hint="eastAsia" w:ascii="宋体" w:hAnsi="宋体" w:eastAsia="宋体" w:cs="宋体"/>
                <w:bCs/>
                <w:color w:val="auto"/>
                <w:sz w:val="24"/>
                <w:szCs w:val="24"/>
                <w:highlight w:val="none"/>
                <w:lang w:val="zh-CN" w:eastAsia="zh-CN" w:bidi="ar-SA"/>
              </w:rPr>
              <w:t>按医院要求，满足与财务部门对接的各类报表。</w:t>
            </w:r>
          </w:p>
        </w:tc>
      </w:tr>
      <w:tr w14:paraId="2EB4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5AFC9357">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5</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5D78DA0E">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账单日设置</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3B29F34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zh-CN" w:eastAsia="zh-CN" w:bidi="ar-SA"/>
              </w:rPr>
            </w:pPr>
            <w:r>
              <w:rPr>
                <w:rStyle w:val="23"/>
                <w:rFonts w:hint="eastAsia" w:ascii="宋体" w:hAnsi="宋体" w:eastAsia="宋体" w:cs="宋体"/>
                <w:bCs/>
                <w:color w:val="auto"/>
                <w:sz w:val="24"/>
                <w:szCs w:val="24"/>
                <w:highlight w:val="none"/>
                <w:lang w:val="en-US" w:eastAsia="zh-CN" w:bidi="ar-SA"/>
              </w:rPr>
              <w:t>动态的结算账单日配置，满足不同医院不同账单日的需求</w:t>
            </w:r>
          </w:p>
        </w:tc>
      </w:tr>
      <w:tr w14:paraId="5CD8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88" w:type="dxa"/>
            <w:tcBorders>
              <w:top w:val="single" w:color="000000" w:sz="4" w:space="0"/>
              <w:left w:val="single" w:color="000000" w:sz="4" w:space="0"/>
              <w:bottom w:val="single" w:color="000000" w:sz="4" w:space="0"/>
              <w:right w:val="single" w:color="000000" w:sz="4" w:space="0"/>
            </w:tcBorders>
            <w:noWrap/>
            <w:vAlign w:val="center"/>
          </w:tcPr>
          <w:p w14:paraId="16B30C0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ind w:left="210"/>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6</w:t>
            </w:r>
          </w:p>
        </w:tc>
        <w:tc>
          <w:tcPr>
            <w:tcW w:w="1462" w:type="dxa"/>
            <w:tcBorders>
              <w:top w:val="single" w:color="000000" w:sz="4" w:space="0"/>
              <w:left w:val="single" w:color="000000" w:sz="4" w:space="0"/>
              <w:bottom w:val="single" w:color="000000" w:sz="4" w:space="0"/>
              <w:right w:val="single" w:color="000000" w:sz="4" w:space="0"/>
            </w:tcBorders>
            <w:noWrap/>
            <w:vAlign w:val="center"/>
          </w:tcPr>
          <w:p w14:paraId="638AE73B">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结算方式配置</w:t>
            </w:r>
          </w:p>
        </w:tc>
        <w:tc>
          <w:tcPr>
            <w:tcW w:w="7425" w:type="dxa"/>
            <w:tcBorders>
              <w:top w:val="single" w:color="000000" w:sz="4" w:space="0"/>
              <w:left w:val="single" w:color="000000" w:sz="4" w:space="0"/>
              <w:bottom w:val="single" w:color="000000" w:sz="4" w:space="0"/>
              <w:right w:val="single" w:color="000000" w:sz="4" w:space="0"/>
            </w:tcBorders>
            <w:noWrap/>
            <w:vAlign w:val="center"/>
          </w:tcPr>
          <w:p w14:paraId="63D033C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要求根据不同耗材、不同采购类型，不同供应商，配置不同结算模式（</w:t>
            </w:r>
            <w:r>
              <w:rPr>
                <w:rStyle w:val="23"/>
                <w:rFonts w:hint="eastAsia" w:ascii="宋体" w:hAnsi="宋体" w:eastAsia="宋体" w:cs="宋体"/>
                <w:color w:val="auto"/>
                <w:sz w:val="24"/>
                <w:szCs w:val="24"/>
                <w:highlight w:val="none"/>
                <w:lang w:val="en-US" w:eastAsia="zh-CN" w:bidi="ar-SA"/>
              </w:rPr>
              <w:t>提供符合要求的系统实操视频证明材料</w:t>
            </w:r>
            <w:r>
              <w:rPr>
                <w:rStyle w:val="23"/>
                <w:rFonts w:hint="eastAsia" w:ascii="宋体" w:hAnsi="宋体" w:eastAsia="宋体" w:cs="宋体"/>
                <w:bCs/>
                <w:color w:val="auto"/>
                <w:sz w:val="24"/>
                <w:szCs w:val="24"/>
                <w:highlight w:val="none"/>
                <w:lang w:val="en-US" w:eastAsia="zh-CN" w:bidi="ar-SA"/>
              </w:rPr>
              <w:t>）</w:t>
            </w:r>
          </w:p>
        </w:tc>
      </w:tr>
    </w:tbl>
    <w:p w14:paraId="3E987C1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 xml:space="preserve">7. </w:t>
      </w:r>
      <w:bookmarkStart w:id="10" w:name="_Toc8352"/>
      <w:bookmarkStart w:id="11" w:name="_Toc6427"/>
      <w:r>
        <w:rPr>
          <w:rFonts w:hint="eastAsia" w:ascii="宋体" w:hAnsi="宋体" w:eastAsia="宋体" w:cs="宋体"/>
          <w:b/>
          <w:bCs/>
          <w:snapToGrid/>
          <w:color w:val="auto"/>
          <w:kern w:val="0"/>
          <w:sz w:val="24"/>
          <w:szCs w:val="24"/>
          <w:highlight w:val="none"/>
          <w:shd w:val="clear" w:color="auto" w:fill="auto"/>
          <w:lang w:val="en-US" w:eastAsia="zh-CN" w:bidi="ar-SA"/>
        </w:rPr>
        <w:t>BI数据监管分析技术要求</w:t>
      </w:r>
      <w:bookmarkEnd w:id="10"/>
      <w:bookmarkEnd w:id="11"/>
    </w:p>
    <w:tbl>
      <w:tblPr>
        <w:tblStyle w:val="1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1687"/>
        <w:gridCol w:w="7338"/>
      </w:tblGrid>
      <w:tr w14:paraId="34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085A125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序号</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91E563C">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子功能</w:t>
            </w:r>
          </w:p>
        </w:tc>
        <w:tc>
          <w:tcPr>
            <w:tcW w:w="7338" w:type="dxa"/>
            <w:tcBorders>
              <w:top w:val="single" w:color="000000" w:sz="4" w:space="0"/>
              <w:left w:val="single" w:color="000000" w:sz="4" w:space="0"/>
              <w:bottom w:val="single" w:color="000000" w:sz="4" w:space="0"/>
              <w:right w:val="single" w:color="000000" w:sz="4" w:space="0"/>
            </w:tcBorders>
            <w:noWrap/>
            <w:vAlign w:val="center"/>
          </w:tcPr>
          <w:p w14:paraId="6F86880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功能描述</w:t>
            </w:r>
          </w:p>
        </w:tc>
      </w:tr>
      <w:tr w14:paraId="3A7F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F47546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1</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0F9688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数据分析监管</w:t>
            </w:r>
          </w:p>
        </w:tc>
        <w:tc>
          <w:tcPr>
            <w:tcW w:w="7338" w:type="dxa"/>
            <w:tcBorders>
              <w:top w:val="single" w:color="000000" w:sz="4" w:space="0"/>
              <w:left w:val="single" w:color="000000" w:sz="4" w:space="0"/>
              <w:bottom w:val="single" w:color="000000" w:sz="4" w:space="0"/>
              <w:right w:val="single" w:color="000000" w:sz="4" w:space="0"/>
            </w:tcBorders>
            <w:noWrap/>
            <w:vAlign w:val="center"/>
          </w:tcPr>
          <w:p w14:paraId="16902CB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支持院内多维度的可视化数据展示和数据分析，如柱状图、圆饼图、曲线图等；医院不同科室根据实际业务需求自由配置，为医院运营提供可靠的数据支撑。</w:t>
            </w:r>
          </w:p>
        </w:tc>
      </w:tr>
      <w:tr w14:paraId="7A31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9C2978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2</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0624E1AA">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院长驾驶舱</w:t>
            </w:r>
          </w:p>
        </w:tc>
        <w:tc>
          <w:tcPr>
            <w:tcW w:w="7338" w:type="dxa"/>
            <w:tcBorders>
              <w:top w:val="single" w:color="000000" w:sz="4" w:space="0"/>
              <w:left w:val="single" w:color="000000" w:sz="4" w:space="0"/>
              <w:bottom w:val="single" w:color="000000" w:sz="4" w:space="0"/>
              <w:right w:val="single" w:color="000000" w:sz="4" w:space="0"/>
            </w:tcBorders>
            <w:noWrap/>
            <w:vAlign w:val="center"/>
          </w:tcPr>
          <w:p w14:paraId="14599BD3">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1.支持按消耗数量、消耗金额查看全院耗材消耗排行。</w:t>
            </w:r>
          </w:p>
          <w:p w14:paraId="3589459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2.可查看全院或科室物资降价情况，包括物资降价数量、降价时间及累计降价金额，提升耗材成本管控。</w:t>
            </w:r>
          </w:p>
          <w:p w14:paraId="0CCA9E8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3.支持查看各科室月度、季度、年度耗材支出情况及耗材比，并提供耗占比同比及环比增长情况。</w:t>
            </w:r>
          </w:p>
        </w:tc>
      </w:tr>
      <w:tr w14:paraId="5C68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2D3E7979">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3</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99FEC76">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大屏数据监管</w:t>
            </w:r>
          </w:p>
        </w:tc>
        <w:tc>
          <w:tcPr>
            <w:tcW w:w="7338" w:type="dxa"/>
            <w:tcBorders>
              <w:top w:val="single" w:color="000000" w:sz="4" w:space="0"/>
              <w:left w:val="single" w:color="000000" w:sz="4" w:space="0"/>
              <w:bottom w:val="single" w:color="000000" w:sz="4" w:space="0"/>
              <w:right w:val="single" w:color="000000" w:sz="4" w:space="0"/>
            </w:tcBorders>
            <w:noWrap/>
            <w:vAlign w:val="center"/>
          </w:tcPr>
          <w:p w14:paraId="23F32295">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▲实现通过大屏展示全院物资管理情况，可以按照科室耗材的使用情况和智能硬件等多维度的实时数据更新。</w:t>
            </w:r>
          </w:p>
          <w:p w14:paraId="4A792068">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（需提供应用证明文件或客户使用意见报告、现场图片、软件著作权证书）</w:t>
            </w:r>
          </w:p>
        </w:tc>
      </w:tr>
      <w:tr w14:paraId="0F8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355CD2F4">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4</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BE342B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供应商管理报表</w:t>
            </w:r>
          </w:p>
        </w:tc>
        <w:tc>
          <w:tcPr>
            <w:tcW w:w="7338" w:type="dxa"/>
            <w:tcBorders>
              <w:top w:val="single" w:color="000000" w:sz="4" w:space="0"/>
              <w:left w:val="single" w:color="000000" w:sz="4" w:space="0"/>
              <w:bottom w:val="single" w:color="000000" w:sz="4" w:space="0"/>
              <w:right w:val="single" w:color="000000" w:sz="4" w:space="0"/>
            </w:tcBorders>
            <w:noWrap/>
            <w:vAlign w:val="center"/>
          </w:tcPr>
          <w:p w14:paraId="1F0F32C2">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为医院提供多供应商数据管理报表。</w:t>
            </w:r>
          </w:p>
        </w:tc>
      </w:tr>
      <w:tr w14:paraId="6F48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14:paraId="682FFF4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5</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6ABEA90">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center"/>
              <w:rPr>
                <w:rStyle w:val="23"/>
                <w:rFonts w:hint="eastAsia" w:ascii="宋体" w:hAnsi="宋体" w:eastAsia="宋体" w:cs="宋体"/>
                <w:bCs/>
                <w:color w:val="auto"/>
                <w:sz w:val="24"/>
                <w:szCs w:val="24"/>
                <w:highlight w:val="none"/>
                <w:lang w:val="en-US" w:eastAsia="zh-CN" w:bidi="ar-SA"/>
              </w:rPr>
            </w:pPr>
            <w:r>
              <w:rPr>
                <w:rStyle w:val="23"/>
                <w:rFonts w:hint="eastAsia" w:ascii="宋体" w:hAnsi="宋体" w:eastAsia="宋体" w:cs="宋体"/>
                <w:bCs/>
                <w:color w:val="auto"/>
                <w:sz w:val="24"/>
                <w:szCs w:val="24"/>
                <w:highlight w:val="none"/>
                <w:lang w:val="en-US" w:eastAsia="zh-CN" w:bidi="ar-SA"/>
              </w:rPr>
              <w:t>报表分析模块</w:t>
            </w:r>
          </w:p>
        </w:tc>
        <w:tc>
          <w:tcPr>
            <w:tcW w:w="7338" w:type="dxa"/>
            <w:tcBorders>
              <w:top w:val="single" w:color="000000" w:sz="4" w:space="0"/>
              <w:left w:val="single" w:color="000000" w:sz="4" w:space="0"/>
              <w:bottom w:val="single" w:color="000000" w:sz="4" w:space="0"/>
              <w:right w:val="single" w:color="000000" w:sz="4" w:space="0"/>
            </w:tcBorders>
            <w:noWrap/>
            <w:vAlign w:val="center"/>
          </w:tcPr>
          <w:p w14:paraId="40C4D93A">
            <w:pPr>
              <w:keepNext w:val="0"/>
              <w:keepLines w:val="0"/>
              <w:pageBreakBefore w:val="0"/>
              <w:numPr>
                <w:ilvl w:val="0"/>
                <w:numId w:val="0"/>
              </w:numPr>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1.支持耗材合理性使用分析，包括：耗占比分析、耗材使用科室对比分析、手术耗材使用分析（从手术名称、医生、科室等角度进行分析）</w:t>
            </w:r>
          </w:p>
          <w:p w14:paraId="19A202DF">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hint="eastAsia" w:ascii="宋体" w:hAnsi="宋体" w:eastAsia="宋体" w:cs="宋体"/>
                <w:bCs/>
                <w:color w:val="auto"/>
                <w:sz w:val="24"/>
                <w:szCs w:val="24"/>
                <w:highlight w:val="none"/>
                <w:lang w:val="en-US" w:eastAsia="zh-CN" w:bidi="ar-SA"/>
              </w:rPr>
              <w:t>2.提供医用耗材用量情况监测与超常预警，对高值医用耗材、使用量或使用金额前10%的低值医用耗材及使用量同比增长超过50%的低值医用耗材进行用量情况统计、监测，对使用量或使用金额达到预警阈值的科室和医师进行预警</w:t>
            </w:r>
            <w:r>
              <w:rPr>
                <w:rStyle w:val="23"/>
                <w:rFonts w:hint="eastAsia" w:ascii="宋体" w:hAnsi="宋体" w:eastAsia="宋体" w:cs="宋体"/>
                <w:bCs/>
                <w:color w:val="auto"/>
                <w:sz w:val="24"/>
                <w:szCs w:val="24"/>
                <w:highlight w:val="none"/>
                <w:lang w:val="en-US" w:eastAsia="zh-CN" w:bidi="ar-SA"/>
              </w:rPr>
              <w:t>（</w:t>
            </w:r>
            <w:r>
              <w:rPr>
                <w:rStyle w:val="23"/>
                <w:rFonts w:hint="eastAsia" w:ascii="宋体" w:hAnsi="宋体" w:eastAsia="宋体" w:cs="宋体"/>
                <w:color w:val="auto"/>
                <w:sz w:val="24"/>
                <w:szCs w:val="24"/>
                <w:highlight w:val="none"/>
                <w:lang w:val="en-US" w:eastAsia="zh-CN" w:bidi="ar-SA"/>
              </w:rPr>
              <w:t>提供符合要求的系统实操视频证明材料</w:t>
            </w:r>
            <w:r>
              <w:rPr>
                <w:rStyle w:val="23"/>
                <w:rFonts w:hint="eastAsia" w:ascii="宋体" w:hAnsi="宋体" w:eastAsia="宋体" w:cs="宋体"/>
                <w:bCs/>
                <w:color w:val="auto"/>
                <w:sz w:val="24"/>
                <w:szCs w:val="24"/>
                <w:highlight w:val="none"/>
                <w:lang w:val="en-US" w:eastAsia="zh-CN" w:bidi="ar-SA"/>
              </w:rPr>
              <w:t>）</w:t>
            </w:r>
          </w:p>
          <w:p w14:paraId="1826CBD1">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3.可设置每个科室的目标耗占比的值，并根据每个科室的耗占比超标情况进行依次排序</w:t>
            </w:r>
          </w:p>
          <w:p w14:paraId="664E03FD">
            <w:pPr>
              <w:keepNext w:val="0"/>
              <w:keepLines w:val="0"/>
              <w:pageBreakBefore w:val="0"/>
              <w:shd w:val="clear" w:color="auto" w:fill="auto"/>
              <w:tabs>
                <w:tab w:val="left" w:pos="426"/>
              </w:tabs>
              <w:kinsoku w:val="0"/>
              <w:wordWrap/>
              <w:overflowPunct/>
              <w:topLinePunct w:val="0"/>
              <w:autoSpaceDE w:val="0"/>
              <w:autoSpaceDN w:val="0"/>
              <w:bidi w:val="0"/>
              <w:adjustRightInd w:val="0"/>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4.可按照科室、医生个人生成耗材使用报表。</w:t>
            </w:r>
          </w:p>
        </w:tc>
      </w:tr>
    </w:tbl>
    <w:p w14:paraId="6C9A13B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七、接口管理要求</w:t>
      </w:r>
    </w:p>
    <w:p w14:paraId="5EDBA99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、支持 HIS、HRP、财务系统实现对接；</w:t>
      </w:r>
    </w:p>
    <w:p w14:paraId="291F052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、协助医疗机构开通所需信息化数据对接串联的端口，产生的所有费用均由中标人承担，招标人和医疗机构负责支持协调双方。</w:t>
      </w:r>
    </w:p>
    <w:p w14:paraId="1924BF3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bCs/>
          <w:snapToGrid/>
          <w:color w:val="auto"/>
          <w:kern w:val="0"/>
          <w:sz w:val="24"/>
          <w:szCs w:val="24"/>
          <w:highlight w:val="none"/>
          <w:shd w:val="clear" w:color="auto" w:fill="auto"/>
          <w:lang w:val="en-US" w:eastAsia="zh-CN" w:bidi="ar-SA"/>
        </w:rPr>
      </w:pPr>
      <w:r>
        <w:rPr>
          <w:rFonts w:hint="eastAsia" w:ascii="宋体" w:hAnsi="宋体" w:eastAsia="宋体" w:cs="宋体"/>
          <w:b/>
          <w:bCs/>
          <w:snapToGrid/>
          <w:color w:val="auto"/>
          <w:kern w:val="0"/>
          <w:sz w:val="24"/>
          <w:szCs w:val="24"/>
          <w:highlight w:val="none"/>
          <w:shd w:val="clear" w:color="auto" w:fill="auto"/>
          <w:lang w:val="en-US" w:eastAsia="zh-CN" w:bidi="ar-SA"/>
        </w:rPr>
        <w:t>八、我院提供的条件</w:t>
      </w:r>
    </w:p>
    <w:p w14:paraId="3DC29CD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负责采购计划、验收、复核、资质证照管理、基础资料管理、财务管理。</w:t>
      </w:r>
    </w:p>
    <w:p w14:paraId="73A52E7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2、院内中心库、科室二级库房，负责智能柜网络、电源等基础建设。</w:t>
      </w:r>
    </w:p>
    <w:p w14:paraId="5B2898C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3、负责 HIS/HRP/LIS 等系统的相关接口，耗材品名、生产厂商、品牌、 价格及各供应商资料、收费码与耗材字典相关的所有资料等。</w:t>
      </w:r>
    </w:p>
    <w:p w14:paraId="176D392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1"/>
          <w:sz w:val="24"/>
          <w:szCs w:val="24"/>
          <w:highlight w:val="none"/>
          <w:lang w:val="en-US" w:eastAsia="zh-CN"/>
        </w:rPr>
        <w:t>我院设备</w:t>
      </w:r>
      <w:r>
        <w:rPr>
          <w:rFonts w:hint="eastAsia" w:ascii="宋体" w:hAnsi="宋体" w:eastAsia="宋体" w:cs="宋体"/>
          <w:color w:val="auto"/>
          <w:spacing w:val="-1"/>
          <w:sz w:val="24"/>
          <w:szCs w:val="24"/>
          <w:highlight w:val="none"/>
        </w:rPr>
        <w:t>科及相关部门协助</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进行项目的实施。</w:t>
      </w:r>
    </w:p>
    <w:p w14:paraId="487245E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9"/>
          <w:sz w:val="28"/>
          <w:szCs w:val="28"/>
          <w:highlight w:val="none"/>
          <w:lang w:val="en-US" w:eastAsia="zh-CN"/>
          <w14:textOutline w14:w="5791" w14:cap="flat" w14:cmpd="sng">
            <w14:solidFill>
              <w14:srgbClr w14:val="000000"/>
            </w14:solidFill>
            <w14:prstDash w14:val="solid"/>
            <w14:miter w14:val="0"/>
          </w14:textOutline>
        </w:rPr>
      </w:pPr>
      <w:r>
        <w:rPr>
          <w:rFonts w:hint="eastAsia" w:ascii="宋体" w:hAnsi="宋体" w:eastAsia="宋体" w:cs="宋体"/>
          <w:b/>
          <w:bCs/>
          <w:snapToGrid/>
          <w:color w:val="auto"/>
          <w:kern w:val="0"/>
          <w:sz w:val="24"/>
          <w:szCs w:val="24"/>
          <w:highlight w:val="none"/>
          <w:shd w:val="clear" w:color="auto" w:fill="auto"/>
          <w:lang w:val="en-US" w:eastAsia="zh-CN" w:bidi="ar-SA"/>
        </w:rPr>
        <w:t>注：超出以上我院提供条件的部分由</w:t>
      </w:r>
      <w:r>
        <w:rPr>
          <w:rFonts w:hint="eastAsia" w:ascii="宋体" w:hAnsi="宋体" w:cs="宋体"/>
          <w:b/>
          <w:bCs/>
          <w:snapToGrid/>
          <w:color w:val="auto"/>
          <w:kern w:val="0"/>
          <w:sz w:val="24"/>
          <w:szCs w:val="24"/>
          <w:highlight w:val="none"/>
          <w:shd w:val="clear" w:color="auto" w:fill="auto"/>
          <w:lang w:val="en-US" w:eastAsia="zh-CN" w:bidi="ar-SA"/>
        </w:rPr>
        <w:t>投标人</w:t>
      </w:r>
      <w:r>
        <w:rPr>
          <w:rFonts w:hint="eastAsia" w:ascii="宋体" w:hAnsi="宋体" w:eastAsia="宋体" w:cs="宋体"/>
          <w:b/>
          <w:bCs/>
          <w:snapToGrid/>
          <w:color w:val="auto"/>
          <w:kern w:val="0"/>
          <w:sz w:val="24"/>
          <w:szCs w:val="24"/>
          <w:highlight w:val="none"/>
          <w:shd w:val="clear" w:color="auto" w:fill="auto"/>
          <w:lang w:val="en-US" w:eastAsia="zh-CN" w:bidi="ar-SA"/>
        </w:rPr>
        <w:t>在投标文件中明确。</w:t>
      </w:r>
    </w:p>
    <w:p w14:paraId="3BC68F8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 xml:space="preserve">必须承诺：本项目从建设到运营过程中， </w:t>
      </w:r>
      <w:r>
        <w:rPr>
          <w:rFonts w:hint="eastAsia" w:ascii="宋体" w:hAnsi="宋体" w:eastAsia="宋体" w:cs="宋体"/>
          <w:color w:val="auto"/>
          <w:spacing w:val="-1"/>
          <w:sz w:val="24"/>
          <w:szCs w:val="24"/>
          <w:highlight w:val="none"/>
          <w:lang w:val="en-US" w:eastAsia="zh-CN"/>
        </w:rPr>
        <w:t>六安市叶集区人民医院及管辖内六家乡镇卫生院</w:t>
      </w:r>
      <w:r>
        <w:rPr>
          <w:rFonts w:hint="eastAsia" w:ascii="宋体" w:hAnsi="宋体" w:eastAsia="宋体" w:cs="宋体"/>
          <w:color w:val="auto"/>
          <w:spacing w:val="-1"/>
          <w:sz w:val="24"/>
          <w:szCs w:val="24"/>
          <w:highlight w:val="none"/>
        </w:rPr>
        <w:t>不支付任何费用。</w:t>
      </w:r>
    </w:p>
    <w:p w14:paraId="6BFF35B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合同期内，与项目相关的设施</w:t>
      </w:r>
      <w:r>
        <w:rPr>
          <w:rFonts w:hint="eastAsia" w:ascii="宋体" w:hAnsi="宋体" w:eastAsia="宋体" w:cs="宋体"/>
          <w:color w:val="auto"/>
          <w:spacing w:val="-1"/>
          <w:sz w:val="24"/>
          <w:szCs w:val="24"/>
          <w:highlight w:val="none"/>
          <w:lang w:val="en-US" w:eastAsia="zh-CN"/>
        </w:rPr>
        <w:t>设备</w:t>
      </w:r>
      <w:r>
        <w:rPr>
          <w:rFonts w:hint="eastAsia" w:ascii="宋体" w:hAnsi="宋体" w:eastAsia="宋体" w:cs="宋体"/>
          <w:color w:val="auto"/>
          <w:spacing w:val="-1"/>
          <w:sz w:val="24"/>
          <w:szCs w:val="24"/>
          <w:highlight w:val="none"/>
        </w:rPr>
        <w:t>、医用物资库房仓储设施、各种软件投入、智能设备投入、人员服务和消耗性支出等一切费用及其建设均由</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免费提供。</w:t>
      </w:r>
    </w:p>
    <w:p w14:paraId="438AB16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派驻在项目医疗机构的服务人员主要包括院内物流配送服务人员、技术运维人员。其中驻院服务人员人数应能够满足日常系统运维服务和院内物流推送服务需求,保障项目医疗机构医用物资供给安全、及时；驻院服务人员要求技术熟练、服务专业、素质过硬。</w:t>
      </w:r>
    </w:p>
    <w:p w14:paraId="591793C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rPr>
        <w:t xml:space="preserve">培训要求： </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必须对</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相关人员进行系统操作、流程的培训， 制订专业的培训计划，直至相关人员熟练掌握。</w:t>
      </w:r>
    </w:p>
    <w:p w14:paraId="5179F7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rPr>
        <w:t>服务质量要求：</w:t>
      </w:r>
      <w:r>
        <w:rPr>
          <w:rFonts w:hint="eastAsia" w:ascii="宋体" w:hAnsi="宋体" w:eastAsia="宋体" w:cs="宋体"/>
          <w:color w:val="auto"/>
          <w:spacing w:val="-1"/>
          <w:sz w:val="24"/>
          <w:szCs w:val="24"/>
          <w:highlight w:val="none"/>
          <w:lang w:val="en-US" w:eastAsia="zh-CN"/>
        </w:rPr>
        <w:t>合格，</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应有完善的服务质量保证体系和制度，把好服务质量关，承诺对</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的服务质量负全责，并接受</w:t>
      </w:r>
      <w:r>
        <w:rPr>
          <w:rFonts w:hint="eastAsia" w:ascii="宋体" w:hAnsi="宋体" w:eastAsia="宋体" w:cs="宋体"/>
          <w:color w:val="auto"/>
          <w:spacing w:val="-1"/>
          <w:sz w:val="24"/>
          <w:szCs w:val="24"/>
          <w:highlight w:val="none"/>
          <w:lang w:val="en-US" w:eastAsia="zh-CN"/>
        </w:rPr>
        <w:t>院方</w:t>
      </w:r>
      <w:r>
        <w:rPr>
          <w:rFonts w:hint="eastAsia" w:ascii="宋体" w:hAnsi="宋体" w:eastAsia="宋体" w:cs="宋体"/>
          <w:color w:val="auto"/>
          <w:spacing w:val="-1"/>
          <w:sz w:val="24"/>
          <w:szCs w:val="24"/>
          <w:highlight w:val="none"/>
        </w:rPr>
        <w:t>的监督。</w:t>
      </w:r>
    </w:p>
    <w:p w14:paraId="20D9D69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SPD 系统所有数据归</w:t>
      </w:r>
      <w:r>
        <w:rPr>
          <w:rFonts w:hint="eastAsia" w:ascii="宋体" w:hAnsi="宋体" w:eastAsia="宋体" w:cs="宋体"/>
          <w:color w:val="auto"/>
          <w:spacing w:val="-1"/>
          <w:sz w:val="24"/>
          <w:szCs w:val="24"/>
          <w:highlight w:val="none"/>
          <w:lang w:val="en-US" w:eastAsia="zh-CN"/>
        </w:rPr>
        <w:t>六安市叶集区人民医院</w:t>
      </w:r>
      <w:r>
        <w:rPr>
          <w:rFonts w:hint="eastAsia" w:ascii="宋体" w:hAnsi="宋体" w:eastAsia="宋体" w:cs="宋体"/>
          <w:color w:val="auto"/>
          <w:spacing w:val="-1"/>
          <w:sz w:val="24"/>
          <w:szCs w:val="24"/>
          <w:highlight w:val="none"/>
        </w:rPr>
        <w:t xml:space="preserve">所有， </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不得将其用作其他任何用</w:t>
      </w:r>
      <w:r>
        <w:rPr>
          <w:rFonts w:hint="eastAsia" w:ascii="宋体" w:hAnsi="宋体" w:eastAsia="宋体" w:cs="宋体"/>
          <w:color w:val="auto"/>
          <w:spacing w:val="-1"/>
          <w:sz w:val="24"/>
          <w:szCs w:val="24"/>
          <w:highlight w:val="none"/>
          <w:lang w:eastAsia="zh-CN"/>
        </w:rPr>
        <w:t>。</w:t>
      </w:r>
    </w:p>
    <w:p w14:paraId="4632910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10、</w:t>
      </w:r>
      <w:r>
        <w:rPr>
          <w:rFonts w:hint="eastAsia" w:ascii="宋体" w:hAnsi="宋体" w:eastAsia="宋体" w:cs="宋体"/>
          <w:color w:val="auto"/>
          <w:spacing w:val="-1"/>
          <w:sz w:val="24"/>
          <w:szCs w:val="24"/>
          <w:highlight w:val="none"/>
        </w:rPr>
        <w:t xml:space="preserve">验收方法： </w:t>
      </w:r>
      <w:r>
        <w:rPr>
          <w:rFonts w:hint="eastAsia" w:ascii="宋体" w:hAnsi="宋体" w:eastAsia="宋体" w:cs="宋体"/>
          <w:color w:val="auto"/>
          <w:spacing w:val="-1"/>
          <w:sz w:val="24"/>
          <w:szCs w:val="24"/>
          <w:highlight w:val="none"/>
          <w:lang w:val="en-US" w:eastAsia="zh-CN"/>
        </w:rPr>
        <w:t>六安市叶集区人民医院</w:t>
      </w:r>
      <w:r>
        <w:rPr>
          <w:rFonts w:hint="eastAsia" w:ascii="宋体" w:hAnsi="宋体" w:eastAsia="宋体" w:cs="宋体"/>
          <w:color w:val="auto"/>
          <w:spacing w:val="-1"/>
          <w:sz w:val="24"/>
          <w:szCs w:val="24"/>
          <w:highlight w:val="none"/>
        </w:rPr>
        <w:t xml:space="preserve">医用物资智慧管理服务中心项目实施前， </w:t>
      </w:r>
      <w:r>
        <w:rPr>
          <w:rFonts w:hint="eastAsia" w:ascii="宋体" w:hAnsi="宋体" w:eastAsia="宋体" w:cs="宋体"/>
          <w:color w:val="auto"/>
          <w:spacing w:val="-1"/>
          <w:sz w:val="24"/>
          <w:szCs w:val="24"/>
          <w:highlight w:val="none"/>
          <w:lang w:eastAsia="zh-CN"/>
        </w:rPr>
        <w:t>中标人</w:t>
      </w:r>
      <w:r>
        <w:rPr>
          <w:rFonts w:hint="eastAsia" w:ascii="宋体" w:hAnsi="宋体" w:eastAsia="宋体" w:cs="宋体"/>
          <w:color w:val="auto"/>
          <w:spacing w:val="-1"/>
          <w:sz w:val="24"/>
          <w:szCs w:val="24"/>
          <w:highlight w:val="none"/>
        </w:rPr>
        <w:t>应对</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开展实施调研，出具实施调研报告，并与</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商定实施方案。项目实施后，由</w:t>
      </w:r>
      <w:r>
        <w:rPr>
          <w:rFonts w:hint="eastAsia" w:ascii="宋体" w:hAnsi="宋体" w:eastAsia="宋体" w:cs="宋体"/>
          <w:color w:val="auto"/>
          <w:spacing w:val="-1"/>
          <w:sz w:val="24"/>
          <w:szCs w:val="24"/>
          <w:highlight w:val="none"/>
          <w:lang w:val="en-US" w:eastAsia="zh-CN"/>
        </w:rPr>
        <w:t>我院</w:t>
      </w:r>
      <w:r>
        <w:rPr>
          <w:rFonts w:hint="eastAsia" w:ascii="宋体" w:hAnsi="宋体" w:eastAsia="宋体" w:cs="宋体"/>
          <w:color w:val="auto"/>
          <w:spacing w:val="-1"/>
          <w:sz w:val="24"/>
          <w:szCs w:val="24"/>
          <w:highlight w:val="none"/>
        </w:rPr>
        <w:t>根据实施方案组织验收，验收合格出具验收书。</w:t>
      </w:r>
    </w:p>
    <w:p w14:paraId="17FD186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三、评分细则</w:t>
      </w:r>
      <w:r>
        <w:rPr>
          <w:rFonts w:hint="eastAsia" w:ascii="宋体" w:hAnsi="宋体" w:eastAsia="宋体" w:cs="宋体"/>
          <w:b/>
          <w:bCs/>
          <w:color w:val="auto"/>
          <w:sz w:val="28"/>
          <w:szCs w:val="28"/>
          <w:highlight w:val="none"/>
          <w:lang w:val="en-US" w:eastAsia="zh-CN"/>
        </w:rPr>
        <w:br w:type="textWrapping"/>
      </w:r>
    </w:p>
    <w:tbl>
      <w:tblPr>
        <w:tblStyle w:val="1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2ED0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0D47D305">
            <w:pPr>
              <w:keepNext w:val="0"/>
              <w:keepLines w:val="0"/>
              <w:pageBreakBefore w:val="0"/>
              <w:wordWrap/>
              <w:overflowPunct/>
              <w:topLinePunct w:val="0"/>
              <w:bidi w:val="0"/>
              <w:adjustRightIn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1743A61">
            <w:pPr>
              <w:keepNext w:val="0"/>
              <w:keepLines w:val="0"/>
              <w:pageBreakBefore w:val="0"/>
              <w:wordWrap/>
              <w:overflowPunct/>
              <w:topLinePunct w:val="0"/>
              <w:bidi w:val="0"/>
              <w:adjustRightIn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6D5EEE0">
            <w:pPr>
              <w:keepNext w:val="0"/>
              <w:keepLines w:val="0"/>
              <w:pageBreakBefore w:val="0"/>
              <w:wordWrap/>
              <w:overflowPunct/>
              <w:topLinePunct w:val="0"/>
              <w:bidi w:val="0"/>
              <w:adjustRightIn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16FA1E9">
            <w:pPr>
              <w:keepNext w:val="0"/>
              <w:keepLines w:val="0"/>
              <w:pageBreakBefore w:val="0"/>
              <w:wordWrap/>
              <w:overflowPunct/>
              <w:topLinePunct w:val="0"/>
              <w:bidi w:val="0"/>
              <w:adjustRightIn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分值范围</w:t>
            </w:r>
          </w:p>
        </w:tc>
      </w:tr>
      <w:tr w14:paraId="3C8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restart"/>
            <w:tcBorders>
              <w:left w:val="single" w:color="auto" w:sz="4" w:space="0"/>
              <w:right w:val="single" w:color="auto" w:sz="4" w:space="0"/>
            </w:tcBorders>
            <w:noWrap w:val="0"/>
            <w:vAlign w:val="center"/>
          </w:tcPr>
          <w:p w14:paraId="26ADD5E9">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技术标分</w:t>
            </w:r>
          </w:p>
          <w:p w14:paraId="6CB4BBEF">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u w:val="single"/>
                <w:lang w:val="en-US" w:eastAsia="zh-CN"/>
              </w:rPr>
              <w:t>90</w:t>
            </w:r>
            <w:r>
              <w:rPr>
                <w:rFonts w:hint="eastAsia" w:ascii="宋体" w:hAnsi="宋体" w:cs="宋体"/>
                <w:color w:val="auto"/>
                <w:sz w:val="24"/>
                <w:szCs w:val="24"/>
              </w:rPr>
              <w:t>分）</w:t>
            </w:r>
          </w:p>
        </w:tc>
        <w:tc>
          <w:tcPr>
            <w:tcW w:w="1074" w:type="dxa"/>
            <w:tcBorders>
              <w:left w:val="single" w:color="auto" w:sz="4" w:space="0"/>
              <w:right w:val="single" w:color="auto" w:sz="4" w:space="0"/>
            </w:tcBorders>
            <w:noWrap w:val="0"/>
            <w:vAlign w:val="center"/>
          </w:tcPr>
          <w:p w14:paraId="2552523C">
            <w:pPr>
              <w:keepNext w:val="0"/>
              <w:keepLines w:val="0"/>
              <w:pageBreakBefore w:val="0"/>
              <w:wordWrap/>
              <w:overflowPunct/>
              <w:topLinePunct w:val="0"/>
              <w:bidi w:val="0"/>
              <w:adjustRightInd w:val="0"/>
              <w:spacing w:line="360" w:lineRule="auto"/>
              <w:jc w:val="center"/>
              <w:rPr>
                <w:rFonts w:hint="eastAsia" w:ascii="宋体" w:hAnsi="宋体" w:cs="宋体"/>
                <w:color w:val="auto"/>
                <w:sz w:val="24"/>
                <w:szCs w:val="24"/>
              </w:rPr>
            </w:pPr>
            <w:r>
              <w:rPr>
                <w:rFonts w:hint="eastAsia" w:ascii="宋体" w:hAnsi="宋体" w:cs="宋体"/>
                <w:color w:val="auto"/>
                <w:sz w:val="24"/>
                <w:szCs w:val="24"/>
                <w:lang w:val="en-US" w:eastAsia="zh-CN"/>
              </w:rPr>
              <w:t>企业</w:t>
            </w:r>
            <w:r>
              <w:rPr>
                <w:rFonts w:hint="eastAsia" w:ascii="宋体" w:hAnsi="宋体" w:cs="宋体"/>
                <w:color w:val="auto"/>
                <w:sz w:val="24"/>
                <w:szCs w:val="24"/>
              </w:rPr>
              <w:t>体系认证</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3C21FC3">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cs="Times New Roman"/>
                <w:b w:val="0"/>
                <w:bCs w:val="0"/>
                <w:color w:val="auto"/>
                <w:sz w:val="24"/>
                <w:szCs w:val="24"/>
                <w:lang w:val="en-US" w:eastAsia="zh-CN"/>
              </w:rPr>
              <w:t>投标人</w:t>
            </w:r>
            <w:r>
              <w:rPr>
                <w:rFonts w:hint="eastAsia" w:ascii="宋体" w:hAnsi="宋体" w:eastAsia="宋体" w:cs="Times New Roman"/>
                <w:b w:val="0"/>
                <w:bCs w:val="0"/>
                <w:color w:val="auto"/>
                <w:sz w:val="24"/>
                <w:szCs w:val="24"/>
                <w:lang w:val="en-US" w:eastAsia="zh-CN"/>
              </w:rPr>
              <w:t>具有经中国国家认证认可监督管理委员会认可的认证机构颁发的有效的下列：</w:t>
            </w:r>
          </w:p>
          <w:p w14:paraId="4615DC51">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（1）质量管理体系认证；</w:t>
            </w:r>
          </w:p>
          <w:p w14:paraId="1FC8E327">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（2）环境管理体系认证；</w:t>
            </w:r>
          </w:p>
          <w:p w14:paraId="5E859B99">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（3）职业健康安全管理体系认证。</w:t>
            </w:r>
          </w:p>
          <w:p w14:paraId="5BFA7CCA">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每满足一项得</w:t>
            </w:r>
            <w:r>
              <w:rPr>
                <w:rFonts w:hint="eastAsia" w:ascii="宋体" w:hAnsi="宋体" w:cs="Times New Roman"/>
                <w:b w:val="0"/>
                <w:bCs w:val="0"/>
                <w:color w:val="auto"/>
                <w:sz w:val="24"/>
                <w:szCs w:val="24"/>
                <w:lang w:val="en-US" w:eastAsia="zh-CN"/>
              </w:rPr>
              <w:t>3</w:t>
            </w:r>
            <w:r>
              <w:rPr>
                <w:rFonts w:hint="eastAsia" w:ascii="宋体" w:hAnsi="宋体" w:eastAsia="宋体" w:cs="Times New Roman"/>
                <w:b w:val="0"/>
                <w:bCs w:val="0"/>
                <w:color w:val="auto"/>
                <w:sz w:val="24"/>
                <w:szCs w:val="24"/>
                <w:lang w:val="en-US" w:eastAsia="zh-CN"/>
              </w:rPr>
              <w:t>分，本项最高得</w:t>
            </w:r>
            <w:r>
              <w:rPr>
                <w:rFonts w:hint="eastAsia" w:ascii="宋体" w:hAnsi="宋体" w:cs="Times New Roman"/>
                <w:b w:val="0"/>
                <w:bCs w:val="0"/>
                <w:color w:val="auto"/>
                <w:sz w:val="24"/>
                <w:szCs w:val="24"/>
                <w:lang w:val="en-US" w:eastAsia="zh-CN"/>
              </w:rPr>
              <w:t>9</w:t>
            </w:r>
            <w:r>
              <w:rPr>
                <w:rFonts w:hint="eastAsia" w:ascii="宋体" w:hAnsi="宋体" w:eastAsia="宋体" w:cs="Times New Roman"/>
                <w:b w:val="0"/>
                <w:bCs w:val="0"/>
                <w:color w:val="auto"/>
                <w:sz w:val="24"/>
                <w:szCs w:val="24"/>
                <w:lang w:val="en-US" w:eastAsia="zh-CN"/>
              </w:rPr>
              <w:t>分。</w:t>
            </w:r>
          </w:p>
          <w:p w14:paraId="24603F0A">
            <w:pPr>
              <w:keepNext w:val="0"/>
              <w:keepLines w:val="0"/>
              <w:pageBreakBefore w:val="0"/>
              <w:widowControl/>
              <w:wordWrap/>
              <w:overflowPunct/>
              <w:topLinePunct w:val="0"/>
              <w:bidi w:val="0"/>
              <w:adjustRightInd w:val="0"/>
              <w:snapToGrid w:val="0"/>
              <w:spacing w:line="360" w:lineRule="auto"/>
              <w:rPr>
                <w:rFonts w:hint="default"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注：</w:t>
            </w:r>
            <w:r>
              <w:rPr>
                <w:rFonts w:hint="eastAsia" w:ascii="宋体" w:hAnsi="宋体" w:cs="Times New Roman"/>
                <w:b w:val="0"/>
                <w:bCs w:val="0"/>
                <w:color w:val="auto"/>
                <w:sz w:val="24"/>
                <w:szCs w:val="24"/>
                <w:lang w:val="en-US" w:eastAsia="zh-CN"/>
              </w:rPr>
              <w:t>投标</w:t>
            </w:r>
            <w:r>
              <w:rPr>
                <w:rFonts w:hint="eastAsia" w:ascii="宋体" w:hAnsi="宋体" w:eastAsia="宋体" w:cs="Times New Roman"/>
                <w:b w:val="0"/>
                <w:bCs w:val="0"/>
                <w:color w:val="auto"/>
                <w:sz w:val="24"/>
                <w:szCs w:val="24"/>
                <w:lang w:val="en-US" w:eastAsia="zh-CN"/>
              </w:rPr>
              <w:t>文件中提供证书及全国认证认可信息公共服务平台网站的查询截图，未提供或提供不全不得分。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881B445">
            <w:pPr>
              <w:keepNext w:val="0"/>
              <w:keepLines w:val="0"/>
              <w:pageBreakBefore w:val="0"/>
              <w:wordWrap/>
              <w:overflowPunct/>
              <w:topLinePunct w:val="0"/>
              <w:bidi w:val="0"/>
              <w:adjustRightInd w:val="0"/>
              <w:spacing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0-9</w:t>
            </w:r>
          </w:p>
        </w:tc>
      </w:tr>
      <w:tr w14:paraId="7D9F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59D42942">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right w:val="single" w:color="auto" w:sz="4" w:space="0"/>
            </w:tcBorders>
            <w:noWrap w:val="0"/>
            <w:vAlign w:val="center"/>
          </w:tcPr>
          <w:p w14:paraId="2150A86A">
            <w:pPr>
              <w:keepNext w:val="0"/>
              <w:keepLines w:val="0"/>
              <w:pageBreakBefore w:val="0"/>
              <w:wordWrap/>
              <w:overflowPunct/>
              <w:topLinePunct w:val="0"/>
              <w:bidi w:val="0"/>
              <w:adjustRightIn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企业业绩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52698B9">
            <w:pPr>
              <w:keepNext w:val="0"/>
              <w:keepLines w:val="0"/>
              <w:pageBreakBefore w:val="0"/>
              <w:widowControl/>
              <w:wordWrap/>
              <w:overflowPunct/>
              <w:topLinePunct w:val="0"/>
              <w:bidi w:val="0"/>
              <w:adjustRightInd w:val="0"/>
              <w:snapToGrid w:val="0"/>
              <w:spacing w:line="360" w:lineRule="auto"/>
              <w:rPr>
                <w:rFonts w:ascii="宋体" w:hAnsi="宋体" w:cs="宋体"/>
                <w:color w:val="auto"/>
                <w:sz w:val="24"/>
                <w:szCs w:val="24"/>
                <w:highlight w:val="none"/>
                <w:lang w:val="zh-CN"/>
              </w:rPr>
            </w:pPr>
            <w:r>
              <w:rPr>
                <w:rFonts w:hint="eastAsia" w:ascii="宋体" w:hAnsi="宋体" w:cs="Times New Roman"/>
                <w:b w:val="0"/>
                <w:bCs w:val="0"/>
                <w:color w:val="auto"/>
                <w:sz w:val="24"/>
                <w:szCs w:val="24"/>
                <w:highlight w:val="none"/>
                <w:lang w:val="en-US" w:eastAsia="zh-CN"/>
              </w:rPr>
              <w:t>1、投标人</w:t>
            </w:r>
            <w:r>
              <w:rPr>
                <w:rFonts w:hint="eastAsia" w:ascii="宋体" w:hAnsi="宋体" w:eastAsia="宋体" w:cs="Times New Roman"/>
                <w:b w:val="0"/>
                <w:bCs w:val="0"/>
                <w:color w:val="auto"/>
                <w:sz w:val="24"/>
                <w:szCs w:val="24"/>
                <w:highlight w:val="none"/>
                <w:lang w:val="en-US" w:eastAsia="zh-CN"/>
              </w:rPr>
              <w:t>具有具有类似项目（耗材SPD）业绩，每提供一个得</w:t>
            </w:r>
            <w:r>
              <w:rPr>
                <w:rFonts w:hint="eastAsia" w:ascii="宋体" w:hAnsi="宋体"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分，本项最高得</w:t>
            </w:r>
            <w:r>
              <w:rPr>
                <w:rFonts w:hint="eastAsia" w:ascii="宋体" w:hAnsi="宋体" w:cs="Times New Roman"/>
                <w:b w:val="0"/>
                <w:bCs w:val="0"/>
                <w:color w:val="auto"/>
                <w:sz w:val="24"/>
                <w:szCs w:val="24"/>
                <w:highlight w:val="none"/>
                <w:lang w:val="en-US" w:eastAsia="zh-CN"/>
              </w:rPr>
              <w:t>10</w:t>
            </w:r>
            <w:r>
              <w:rPr>
                <w:rFonts w:hint="eastAsia" w:ascii="宋体" w:hAnsi="宋体" w:eastAsia="宋体" w:cs="Times New Roman"/>
                <w:b w:val="0"/>
                <w:bCs w:val="0"/>
                <w:color w:val="auto"/>
                <w:sz w:val="24"/>
                <w:szCs w:val="24"/>
                <w:highlight w:val="none"/>
                <w:lang w:val="en-US" w:eastAsia="zh-CN"/>
              </w:rPr>
              <w:t>分</w:t>
            </w:r>
            <w:r>
              <w:rPr>
                <w:rFonts w:hint="eastAsia" w:ascii="宋体" w:hAnsi="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br w:type="textWrapping"/>
            </w:r>
            <w:r>
              <w:rPr>
                <w:rFonts w:hint="eastAsia" w:ascii="宋体" w:hAnsi="宋体" w:cs="Times New Roman"/>
                <w:b w:val="0"/>
                <w:bCs w:val="0"/>
                <w:color w:val="auto"/>
                <w:sz w:val="24"/>
                <w:szCs w:val="24"/>
                <w:highlight w:val="none"/>
                <w:lang w:val="en-US" w:eastAsia="zh-CN"/>
              </w:rPr>
              <w:t>2、上述业绩中基于单一合同签订，且对应年度服务配额达到1000万元及以上，每提供一个得3分，本项最高得6分。</w:t>
            </w:r>
            <w:r>
              <w:rPr>
                <w:rFonts w:hint="eastAsia" w:ascii="宋体" w:hAnsi="宋体" w:eastAsia="宋体" w:cs="Times New Roman"/>
                <w:b w:val="0"/>
                <w:bCs w:val="0"/>
                <w:color w:val="auto"/>
                <w:sz w:val="24"/>
                <w:szCs w:val="24"/>
                <w:highlight w:val="none"/>
                <w:lang w:val="en-US" w:eastAsia="zh-CN"/>
              </w:rPr>
              <w:br w:type="textWrapping"/>
            </w:r>
            <w:r>
              <w:rPr>
                <w:rFonts w:hint="eastAsia" w:ascii="宋体" w:hAnsi="宋体" w:eastAsia="宋体" w:cs="Times New Roman"/>
                <w:b w:val="0"/>
                <w:bCs w:val="0"/>
                <w:color w:val="auto"/>
                <w:sz w:val="24"/>
                <w:szCs w:val="24"/>
                <w:highlight w:val="none"/>
                <w:lang w:val="en-US" w:eastAsia="zh-CN"/>
              </w:rPr>
              <w:t>注：（1）投标文件中提供合同协议书</w:t>
            </w:r>
            <w:r>
              <w:rPr>
                <w:rFonts w:hint="eastAsia" w:ascii="宋体" w:hAnsi="宋体" w:cs="Times New Roman"/>
                <w:b w:val="0"/>
                <w:bCs w:val="0"/>
                <w:color w:val="auto"/>
                <w:sz w:val="24"/>
                <w:szCs w:val="24"/>
                <w:highlight w:val="none"/>
                <w:lang w:val="en-US" w:eastAsia="zh-CN"/>
              </w:rPr>
              <w:t>及能体现</w:t>
            </w:r>
            <w:r>
              <w:rPr>
                <w:rFonts w:hint="eastAsia" w:ascii="宋体" w:hAnsi="宋体" w:cs="Times New Roman"/>
                <w:b w:val="0"/>
                <w:bCs w:val="0"/>
                <w:color w:val="auto"/>
                <w:sz w:val="24"/>
                <w:szCs w:val="24"/>
                <w:highlight w:val="none"/>
                <w:lang w:val="en-US" w:eastAsia="zh-CN"/>
              </w:rPr>
              <w:t>年度服务配额的证明材料</w:t>
            </w:r>
            <w:r>
              <w:rPr>
                <w:rFonts w:hint="eastAsia" w:ascii="宋体" w:hAnsi="宋体" w:eastAsia="宋体" w:cs="Times New Roman"/>
                <w:b w:val="0"/>
                <w:bCs w:val="0"/>
                <w:color w:val="auto"/>
                <w:sz w:val="24"/>
                <w:szCs w:val="24"/>
                <w:highlight w:val="none"/>
                <w:lang w:val="en-US" w:eastAsia="zh-CN"/>
              </w:rPr>
              <w:t>；（2）如提供的材料中无法完整或能充分反映评审因素的，应另附合同甲方证明材料（</w:t>
            </w:r>
            <w:r>
              <w:rPr>
                <w:rFonts w:hint="eastAsia" w:ascii="宋体" w:hAnsi="宋体"/>
                <w:b w:val="0"/>
                <w:bCs w:val="0"/>
                <w:color w:val="auto"/>
                <w:sz w:val="24"/>
                <w:szCs w:val="24"/>
                <w:highlight w:val="none"/>
                <w:lang w:val="en-US" w:eastAsia="zh-CN"/>
              </w:rPr>
              <w:t>须加盖业主单位公章的证明材料</w:t>
            </w:r>
            <w:r>
              <w:rPr>
                <w:rFonts w:hint="eastAsia" w:ascii="宋体" w:hAnsi="宋体" w:eastAsia="宋体" w:cs="Times New Roman"/>
                <w:b w:val="0"/>
                <w:bCs w:val="0"/>
                <w:color w:val="auto"/>
                <w:sz w:val="24"/>
                <w:szCs w:val="24"/>
                <w:highlight w:val="none"/>
                <w:lang w:val="en-US" w:eastAsia="zh-CN"/>
              </w:rPr>
              <w:t>），否则不予认可。（3）同一份业绩合同如同时用于企业业绩和项目负责人业绩，其基础分与附加分均可重复计算。</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286A166">
            <w:pPr>
              <w:keepNext w:val="0"/>
              <w:keepLines w:val="0"/>
              <w:pageBreakBefore w:val="0"/>
              <w:wordWrap/>
              <w:overflowPunct/>
              <w:topLinePunct w:val="0"/>
              <w:bidi w:val="0"/>
              <w:adjustRightIn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0-16</w:t>
            </w:r>
          </w:p>
        </w:tc>
      </w:tr>
      <w:tr w14:paraId="4A05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484FCDA2">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653BB953">
            <w:pPr>
              <w:keepNext w:val="0"/>
              <w:keepLines w:val="0"/>
              <w:pageBreakBefore w:val="0"/>
              <w:wordWrap/>
              <w:overflowPunct/>
              <w:topLinePunct w:val="0"/>
              <w:bidi w:val="0"/>
              <w:adjustRightIn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AAF3A44">
            <w:pPr>
              <w:keepNext w:val="0"/>
              <w:keepLines w:val="0"/>
              <w:pageBreakBefore w:val="0"/>
              <w:widowControl/>
              <w:wordWrap/>
              <w:overflowPunct/>
              <w:topLinePunct w:val="0"/>
              <w:bidi w:val="0"/>
              <w:adjustRightInd w:val="0"/>
              <w:snapToGrid w:val="0"/>
              <w:spacing w:line="360" w:lineRule="auto"/>
              <w:rPr>
                <w:rFonts w:ascii="宋体" w:hAnsi="宋体" w:cs="宋体"/>
                <w:color w:val="auto"/>
                <w:sz w:val="24"/>
                <w:szCs w:val="24"/>
                <w:highlight w:val="none"/>
              </w:rPr>
            </w:pPr>
            <w:r>
              <w:rPr>
                <w:rFonts w:hint="eastAsia" w:ascii="宋体" w:hAnsi="宋体"/>
                <w:b w:val="0"/>
                <w:bCs w:val="0"/>
                <w:color w:val="auto"/>
                <w:sz w:val="24"/>
                <w:szCs w:val="24"/>
                <w:highlight w:val="none"/>
                <w:lang w:val="en-US" w:eastAsia="zh-CN"/>
              </w:rPr>
              <w:t>拟派项目负责人具有类似项目（耗材SPD）业绩，每提供一个得5分，本项最高得10分；</w:t>
            </w:r>
            <w:r>
              <w:rPr>
                <w:rFonts w:hint="eastAsia" w:ascii="宋体" w:hAnsi="宋体"/>
                <w:b w:val="0"/>
                <w:bCs w:val="0"/>
                <w:color w:val="auto"/>
                <w:sz w:val="24"/>
                <w:szCs w:val="24"/>
                <w:highlight w:val="none"/>
                <w:lang w:val="en-US" w:eastAsia="zh-CN"/>
              </w:rPr>
              <w:br w:type="textWrapping"/>
            </w:r>
            <w:r>
              <w:rPr>
                <w:rFonts w:hint="eastAsia" w:ascii="宋体" w:hAnsi="宋体"/>
                <w:b w:val="0"/>
                <w:bCs w:val="0"/>
                <w:color w:val="auto"/>
                <w:sz w:val="24"/>
                <w:szCs w:val="24"/>
                <w:highlight w:val="none"/>
                <w:lang w:val="en-US" w:eastAsia="zh-CN"/>
              </w:rPr>
              <w:t>注：</w:t>
            </w:r>
            <w:r>
              <w:rPr>
                <w:rFonts w:hint="eastAsia" w:ascii="宋体" w:hAnsi="宋体" w:eastAsia="宋体" w:cs="Times New Roman"/>
                <w:b w:val="0"/>
                <w:bCs w:val="0"/>
                <w:color w:val="auto"/>
                <w:sz w:val="24"/>
                <w:szCs w:val="24"/>
                <w:highlight w:val="none"/>
                <w:lang w:val="en-US" w:eastAsia="zh-CN"/>
              </w:rPr>
              <w:t>（1）投标文件中提供合同协议书</w:t>
            </w:r>
            <w:r>
              <w:rPr>
                <w:rFonts w:hint="eastAsia" w:ascii="宋体" w:hAnsi="宋体" w:cs="Times New Roman"/>
                <w:b w:val="0"/>
                <w:bCs w:val="0"/>
                <w:color w:val="auto"/>
                <w:sz w:val="24"/>
                <w:szCs w:val="24"/>
                <w:highlight w:val="none"/>
                <w:lang w:val="en-US" w:eastAsia="zh-CN"/>
              </w:rPr>
              <w:t>；</w:t>
            </w:r>
            <w:r>
              <w:rPr>
                <w:rFonts w:hint="eastAsia" w:ascii="宋体" w:hAnsi="宋体"/>
                <w:b w:val="0"/>
                <w:bCs w:val="0"/>
                <w:color w:val="auto"/>
                <w:sz w:val="24"/>
                <w:szCs w:val="24"/>
                <w:highlight w:val="none"/>
                <w:lang w:val="en-US" w:eastAsia="zh-CN"/>
              </w:rPr>
              <w:t>（2）如提供的材料中无法完整或能充分反映评审因素的，应另附合同甲方证明材料（须加盖业主单位公章的证明材料），否则不予认可。（3）</w:t>
            </w:r>
            <w:r>
              <w:rPr>
                <w:rFonts w:hint="eastAsia" w:ascii="宋体" w:hAnsi="宋体" w:eastAsia="宋体" w:cs="Times New Roman"/>
                <w:b w:val="0"/>
                <w:bCs w:val="0"/>
                <w:color w:val="auto"/>
                <w:sz w:val="24"/>
                <w:szCs w:val="24"/>
                <w:highlight w:val="none"/>
                <w:lang w:val="en-US" w:eastAsia="zh-CN"/>
              </w:rPr>
              <w:t>同一份业绩合同如同时用于企业业绩和项目负责人业绩，其基础分与附加分均可重复计算。</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BCCB4C8">
            <w:pPr>
              <w:keepNext w:val="0"/>
              <w:keepLines w:val="0"/>
              <w:pageBreakBefore w:val="0"/>
              <w:wordWrap/>
              <w:overflowPunct/>
              <w:topLinePunct w:val="0"/>
              <w:bidi w:val="0"/>
              <w:adjustRightIn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0-10</w:t>
            </w:r>
          </w:p>
        </w:tc>
      </w:tr>
      <w:tr w14:paraId="7057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631F8183">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7BE0DC85">
            <w:pPr>
              <w:keepNext w:val="0"/>
              <w:keepLines w:val="0"/>
              <w:pageBreakBefore w:val="0"/>
              <w:wordWrap/>
              <w:overflowPunct/>
              <w:topLinePunct w:val="0"/>
              <w:bidi w:val="0"/>
              <w:adjustRightInd w:val="0"/>
              <w:spacing w:line="360" w:lineRule="auto"/>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软硬件技术参数响应</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5DBABFB">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ascii="宋体" w:hAnsi="宋体" w:eastAsia="宋体" w:cs="宋体"/>
                <w:color w:val="auto"/>
                <w:sz w:val="24"/>
                <w:szCs w:val="24"/>
              </w:rPr>
              <w:t>采购需求中标注</w:t>
            </w:r>
            <w:r>
              <w:rPr>
                <w:rFonts w:hint="eastAsia" w:ascii="宋体" w:hAnsi="宋体" w:eastAsia="宋体" w:cs="宋体"/>
                <w:color w:val="auto"/>
                <w:sz w:val="24"/>
                <w:szCs w:val="24"/>
              </w:rPr>
              <w:t>▲</w:t>
            </w:r>
            <w:r>
              <w:rPr>
                <w:rFonts w:ascii="宋体" w:hAnsi="宋体" w:eastAsia="宋体" w:cs="宋体"/>
                <w:color w:val="auto"/>
                <w:sz w:val="24"/>
                <w:szCs w:val="24"/>
              </w:rPr>
              <w:t>号的参数(共</w:t>
            </w:r>
            <w:r>
              <w:rPr>
                <w:rFonts w:hint="eastAsia" w:ascii="宋体" w:hAnsi="宋体" w:eastAsia="宋体" w:cs="宋体"/>
                <w:color w:val="auto"/>
                <w:sz w:val="24"/>
                <w:szCs w:val="24"/>
                <w:lang w:val="en-US" w:eastAsia="zh-CN"/>
              </w:rPr>
              <w:t>15</w:t>
            </w:r>
            <w:r>
              <w:rPr>
                <w:rFonts w:ascii="宋体" w:hAnsi="宋体" w:eastAsia="宋体" w:cs="宋体"/>
                <w:color w:val="auto"/>
                <w:sz w:val="24"/>
                <w:szCs w:val="24"/>
              </w:rPr>
              <w:t>项)， 每满足一项的得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 xml:space="preserve"> 分，满分</w:t>
            </w:r>
            <w:r>
              <w:rPr>
                <w:rFonts w:hint="eastAsia" w:ascii="宋体" w:hAnsi="宋体" w:eastAsia="宋体" w:cs="宋体"/>
                <w:color w:val="auto"/>
                <w:sz w:val="24"/>
                <w:szCs w:val="24"/>
                <w:lang w:val="en-US" w:eastAsia="zh-CN"/>
              </w:rPr>
              <w:t>30</w:t>
            </w:r>
            <w:r>
              <w:rPr>
                <w:rFonts w:ascii="宋体" w:hAnsi="宋体" w:eastAsia="宋体" w:cs="宋体"/>
                <w:color w:val="auto"/>
                <w:sz w:val="24"/>
                <w:szCs w:val="24"/>
              </w:rPr>
              <w:t>分。</w:t>
            </w:r>
          </w:p>
          <w:p w14:paraId="656A3741">
            <w:pPr>
              <w:keepNext w:val="0"/>
              <w:keepLines w:val="0"/>
              <w:pageBreakBefore w:val="0"/>
              <w:widowControl/>
              <w:wordWrap/>
              <w:overflowPunct/>
              <w:topLinePunct w:val="0"/>
              <w:bidi w:val="0"/>
              <w:adjustRightInd w:val="0"/>
              <w:snapToGrid w:val="0"/>
              <w:spacing w:line="360" w:lineRule="auto"/>
              <w:rPr>
                <w:rFonts w:hint="default" w:ascii="宋体" w:hAnsi="宋体" w:cs="宋体"/>
                <w:b/>
                <w:bCs/>
                <w:color w:val="auto"/>
                <w:sz w:val="24"/>
                <w:szCs w:val="24"/>
                <w:lang w:val="en-US"/>
              </w:rPr>
            </w:pPr>
            <w:r>
              <w:rPr>
                <w:rFonts w:hint="eastAsia" w:ascii="宋体" w:hAnsi="宋体" w:eastAsia="宋体" w:cs="Times New Roman"/>
                <w:b w:val="0"/>
                <w:bCs w:val="0"/>
                <w:color w:val="auto"/>
                <w:sz w:val="24"/>
                <w:szCs w:val="24"/>
                <w:lang w:val="en-US" w:eastAsia="zh-CN"/>
              </w:rPr>
              <w:t>注：带“▲”参数</w:t>
            </w:r>
            <w:r>
              <w:rPr>
                <w:rFonts w:hint="eastAsia" w:ascii="宋体" w:hAnsi="宋体" w:cs="Times New Roman"/>
                <w:b w:val="0"/>
                <w:bCs w:val="0"/>
                <w:color w:val="auto"/>
                <w:sz w:val="24"/>
                <w:szCs w:val="24"/>
                <w:lang w:val="en-US" w:eastAsia="zh-CN"/>
              </w:rPr>
              <w:t>，</w:t>
            </w:r>
            <w:r>
              <w:rPr>
                <w:rFonts w:hint="eastAsia" w:ascii="宋体" w:hAnsi="宋体" w:eastAsia="宋体" w:cs="Times New Roman"/>
                <w:b w:val="0"/>
                <w:bCs w:val="0"/>
                <w:color w:val="auto"/>
                <w:sz w:val="24"/>
                <w:szCs w:val="24"/>
                <w:lang w:val="en-US" w:eastAsia="zh-CN"/>
              </w:rPr>
              <w:t>投标文件中须提供相关证明材料，否则不得分。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FC93DE2">
            <w:pPr>
              <w:keepNext w:val="0"/>
              <w:keepLines w:val="0"/>
              <w:pageBreakBefore w:val="0"/>
              <w:wordWrap/>
              <w:overflowPunct/>
              <w:topLinePunct w:val="0"/>
              <w:bidi w:val="0"/>
              <w:adjustRightInd w:val="0"/>
              <w:spacing w:line="360" w:lineRule="auto"/>
              <w:jc w:val="center"/>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0-30</w:t>
            </w:r>
          </w:p>
        </w:tc>
      </w:tr>
      <w:tr w14:paraId="6232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0910E68B">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0512DBB9">
            <w:pPr>
              <w:keepNext w:val="0"/>
              <w:keepLines w:val="0"/>
              <w:pageBreakBefore w:val="0"/>
              <w:widowControl/>
              <w:wordWrap/>
              <w:overflowPunct/>
              <w:topLinePunct w:val="0"/>
              <w:bidi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项目总体实施方案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27FE49C">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根据投标人提供的项目总体实施方案（包括实施技术方案、人员配备、进度计划、各阶段安排、应急措施等）进行综合评审：</w:t>
            </w:r>
          </w:p>
          <w:p w14:paraId="23606CB3">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（1）方案优于采购需求，完整详细，可行性、实用性、针对性强，得5分；</w:t>
            </w:r>
          </w:p>
          <w:p w14:paraId="3EF2883D">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（2）方案适合采购需求，完整详细，具有可行性、实用性和针对性，得3分；</w:t>
            </w:r>
          </w:p>
          <w:p w14:paraId="44FB4B2C">
            <w:pPr>
              <w:keepNext w:val="0"/>
              <w:keepLines w:val="0"/>
              <w:pageBreakBefore w:val="0"/>
              <w:widowControl/>
              <w:wordWrap/>
              <w:overflowPunct/>
              <w:topLinePunct w:val="0"/>
              <w:bidi w:val="0"/>
              <w:adjustRightInd w:val="0"/>
              <w:snapToGrid w:val="0"/>
              <w:spacing w:line="360" w:lineRule="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（3）方案基本适合采购需求，可行性、实用性、针对性有待改善，得1分；</w:t>
            </w:r>
          </w:p>
          <w:p w14:paraId="703DF627">
            <w:pPr>
              <w:keepNext w:val="0"/>
              <w:keepLines w:val="0"/>
              <w:pageBreakBefore w:val="0"/>
              <w:widowControl/>
              <w:wordWrap/>
              <w:overflowPunct/>
              <w:topLinePunct w:val="0"/>
              <w:bidi w:val="0"/>
              <w:adjustRightInd w:val="0"/>
              <w:snapToGrid w:val="0"/>
              <w:spacing w:line="360" w:lineRule="auto"/>
              <w:rPr>
                <w:rFonts w:ascii="宋体" w:hAnsi="宋体" w:cs="宋体"/>
                <w:b/>
                <w:color w:val="auto"/>
                <w:sz w:val="24"/>
                <w:szCs w:val="24"/>
              </w:rPr>
            </w:pPr>
            <w:r>
              <w:rPr>
                <w:rFonts w:hint="eastAsia" w:ascii="宋体" w:hAnsi="宋体" w:eastAsia="宋体" w:cs="Times New Roman"/>
                <w:b w:val="0"/>
                <w:bCs w:val="0"/>
                <w:color w:val="auto"/>
                <w:sz w:val="24"/>
                <w:szCs w:val="24"/>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0CFE330">
            <w:pPr>
              <w:keepNext w:val="0"/>
              <w:keepLines w:val="0"/>
              <w:pageBreakBefore w:val="0"/>
              <w:widowControl/>
              <w:wordWrap/>
              <w:overflowPunct/>
              <w:topLinePunct w:val="0"/>
              <w:bidi w:val="0"/>
              <w:adjustRightInd w:val="0"/>
              <w:spacing w:line="360" w:lineRule="auto"/>
              <w:jc w:val="center"/>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0-5</w:t>
            </w:r>
          </w:p>
        </w:tc>
      </w:tr>
      <w:tr w14:paraId="4462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557D943E">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2112B4DA">
            <w:pPr>
              <w:keepNext w:val="0"/>
              <w:keepLines w:val="0"/>
              <w:pageBreakBefore w:val="0"/>
              <w:wordWrap/>
              <w:overflowPunct/>
              <w:topLinePunct w:val="0"/>
              <w:bidi w:val="0"/>
              <w:adjustRightInd w:val="0"/>
              <w:spacing w:line="360" w:lineRule="auto"/>
              <w:jc w:val="center"/>
              <w:rPr>
                <w:rFonts w:ascii="宋体" w:hAnsi="宋体" w:cs="宋体"/>
                <w:bCs/>
                <w:color w:val="auto"/>
                <w:sz w:val="24"/>
                <w:szCs w:val="24"/>
              </w:rPr>
            </w:pPr>
            <w:r>
              <w:rPr>
                <w:rFonts w:hint="eastAsia" w:ascii="宋体" w:hAnsi="宋体" w:cs="宋体"/>
                <w:bCs/>
                <w:color w:val="auto"/>
                <w:sz w:val="24"/>
                <w:szCs w:val="24"/>
              </w:rPr>
              <w:t>运营管理服务方案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265B5EDC">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根据投标人提供的运营管理服务方案（涵盖高值耗材、低值耗材、骨科跟台耗材、三级库管理等）进行综合评审：</w:t>
            </w:r>
          </w:p>
          <w:p w14:paraId="20207B3F">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（1）方案优于采购需求，完整详细，可行性、实用性、针对性强，得</w:t>
            </w:r>
            <w:r>
              <w:rPr>
                <w:rFonts w:hint="eastAsia" w:ascii="宋体" w:hAnsi="宋体" w:cs="宋体"/>
                <w:b w:val="0"/>
                <w:bCs/>
                <w:color w:val="auto"/>
                <w:sz w:val="24"/>
                <w:szCs w:val="24"/>
                <w:lang w:val="en-US" w:eastAsia="zh-CN"/>
              </w:rPr>
              <w:t>5</w:t>
            </w:r>
            <w:r>
              <w:rPr>
                <w:rFonts w:hint="eastAsia" w:ascii="宋体" w:hAnsi="宋体" w:cs="宋体"/>
                <w:b w:val="0"/>
                <w:bCs/>
                <w:color w:val="auto"/>
                <w:sz w:val="24"/>
                <w:szCs w:val="24"/>
              </w:rPr>
              <w:t>分；</w:t>
            </w:r>
          </w:p>
          <w:p w14:paraId="706D4882">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（2）方案适合采购需求，完整详细，具有可行性、实用性和针对性，得</w:t>
            </w:r>
            <w:r>
              <w:rPr>
                <w:rFonts w:hint="eastAsia" w:ascii="宋体" w:hAnsi="宋体" w:cs="宋体"/>
                <w:b w:val="0"/>
                <w:bCs/>
                <w:color w:val="auto"/>
                <w:sz w:val="24"/>
                <w:szCs w:val="24"/>
                <w:lang w:val="en-US" w:eastAsia="zh-CN"/>
              </w:rPr>
              <w:t>3</w:t>
            </w:r>
            <w:r>
              <w:rPr>
                <w:rFonts w:hint="eastAsia" w:ascii="宋体" w:hAnsi="宋体" w:cs="宋体"/>
                <w:b w:val="0"/>
                <w:bCs/>
                <w:color w:val="auto"/>
                <w:sz w:val="24"/>
                <w:szCs w:val="24"/>
              </w:rPr>
              <w:t>分；</w:t>
            </w:r>
          </w:p>
          <w:p w14:paraId="7FFB5D81">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（3）方案基本适合采购需求，可行性、实用性、针对性有待改善，得</w:t>
            </w: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分；</w:t>
            </w:r>
          </w:p>
          <w:p w14:paraId="7A5549F6">
            <w:pPr>
              <w:keepNext w:val="0"/>
              <w:keepLines w:val="0"/>
              <w:pageBreakBefore w:val="0"/>
              <w:wordWrap/>
              <w:overflowPunct/>
              <w:topLinePunct w:val="0"/>
              <w:bidi w:val="0"/>
              <w:adjustRightInd w:val="0"/>
              <w:spacing w:line="360" w:lineRule="auto"/>
              <w:rPr>
                <w:rFonts w:ascii="宋体" w:hAnsi="宋体" w:cs="宋体"/>
                <w:b/>
                <w:color w:val="auto"/>
                <w:sz w:val="24"/>
                <w:szCs w:val="24"/>
              </w:rPr>
            </w:pPr>
            <w:r>
              <w:rPr>
                <w:rFonts w:hint="eastAsia" w:ascii="宋体" w:hAnsi="宋体" w:cs="宋体"/>
                <w:b w:val="0"/>
                <w:bCs/>
                <w:color w:val="auto"/>
                <w:sz w:val="24"/>
                <w:szCs w:val="24"/>
              </w:rPr>
              <w:t>（4）方案不可行或者未提供得0分。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218FBAC0">
            <w:pPr>
              <w:keepNext w:val="0"/>
              <w:keepLines w:val="0"/>
              <w:pageBreakBefore w:val="0"/>
              <w:wordWrap/>
              <w:overflowPunct/>
              <w:topLinePunct w:val="0"/>
              <w:bidi w:val="0"/>
              <w:adjustRightInd w:val="0"/>
              <w:spacing w:line="360" w:lineRule="auto"/>
              <w:jc w:val="center"/>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0-5</w:t>
            </w:r>
          </w:p>
        </w:tc>
      </w:tr>
      <w:tr w14:paraId="3304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4A64726E">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3C2471DD">
            <w:pPr>
              <w:keepNext w:val="0"/>
              <w:keepLines w:val="0"/>
              <w:pageBreakBefore w:val="0"/>
              <w:wordWrap/>
              <w:overflowPunct/>
              <w:topLinePunct w:val="0"/>
              <w:bidi w:val="0"/>
              <w:adjustRightInd w:val="0"/>
              <w:spacing w:line="360" w:lineRule="auto"/>
              <w:jc w:val="center"/>
              <w:rPr>
                <w:rFonts w:ascii="宋体" w:hAnsi="宋体" w:cs="宋体"/>
                <w:bCs/>
                <w:color w:val="auto"/>
                <w:sz w:val="24"/>
                <w:szCs w:val="24"/>
              </w:rPr>
            </w:pPr>
            <w:r>
              <w:rPr>
                <w:rFonts w:hint="eastAsia" w:ascii="宋体" w:hAnsi="宋体" w:cs="宋体"/>
                <w:bCs/>
                <w:color w:val="auto"/>
                <w:sz w:val="24"/>
                <w:szCs w:val="24"/>
              </w:rPr>
              <w:t>团队配置与培训方案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052AA99">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根据投标人提供的团队配置与培训方案（团队架构、人员分工、协作机制，以及针对医院人员的培训计划）进行综合评审：</w:t>
            </w:r>
          </w:p>
          <w:p w14:paraId="79725264">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（1）方案优于采购需求，完整详细，可行性、实用性、针对性强，得5分；</w:t>
            </w:r>
          </w:p>
          <w:p w14:paraId="77188A13">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（2）方案适合采购需求，完整详细，具有可行性、实用性和针对性，得3分；</w:t>
            </w:r>
          </w:p>
          <w:p w14:paraId="662BB03B">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（3）方案基本适合采购需求，可行性、实用性、针对性有待改善，得1分；</w:t>
            </w:r>
          </w:p>
          <w:p w14:paraId="5647BE73">
            <w:pPr>
              <w:keepNext w:val="0"/>
              <w:keepLines w:val="0"/>
              <w:pageBreakBefore w:val="0"/>
              <w:wordWrap/>
              <w:overflowPunct/>
              <w:topLinePunct w:val="0"/>
              <w:bidi w:val="0"/>
              <w:adjustRightInd w:val="0"/>
              <w:spacing w:line="360" w:lineRule="auto"/>
              <w:rPr>
                <w:rFonts w:ascii="宋体" w:hAnsi="宋体" w:cs="宋体"/>
                <w:b/>
                <w:color w:val="auto"/>
                <w:sz w:val="24"/>
                <w:szCs w:val="24"/>
              </w:rPr>
            </w:pPr>
            <w:r>
              <w:rPr>
                <w:rFonts w:hint="eastAsia" w:ascii="宋体" w:hAnsi="宋体" w:cs="宋体"/>
                <w:b w:val="0"/>
                <w:bCs/>
                <w:color w:val="auto"/>
                <w:sz w:val="24"/>
                <w:szCs w:val="24"/>
              </w:rPr>
              <w:t>（4）方案不可行或者未提供得0分。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193B203">
            <w:pPr>
              <w:keepNext w:val="0"/>
              <w:keepLines w:val="0"/>
              <w:pageBreakBefore w:val="0"/>
              <w:wordWrap/>
              <w:overflowPunct/>
              <w:topLinePunct w:val="0"/>
              <w:bidi w:val="0"/>
              <w:adjustRightInd w:val="0"/>
              <w:spacing w:line="360" w:lineRule="auto"/>
              <w:jc w:val="center"/>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0-5</w:t>
            </w:r>
          </w:p>
        </w:tc>
      </w:tr>
      <w:tr w14:paraId="43E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1F18E360">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225D8A36">
            <w:pPr>
              <w:keepNext w:val="0"/>
              <w:keepLines w:val="0"/>
              <w:pageBreakBefore w:val="0"/>
              <w:wordWrap/>
              <w:overflowPunct/>
              <w:topLinePunct w:val="0"/>
              <w:bidi w:val="0"/>
              <w:adjustRightInd w:val="0"/>
              <w:spacing w:line="360" w:lineRule="auto"/>
              <w:jc w:val="center"/>
              <w:rPr>
                <w:rFonts w:ascii="宋体" w:hAnsi="宋体" w:cs="宋体"/>
                <w:bCs/>
                <w:color w:val="auto"/>
                <w:sz w:val="24"/>
                <w:szCs w:val="24"/>
              </w:rPr>
            </w:pPr>
            <w:r>
              <w:rPr>
                <w:rFonts w:hint="eastAsia" w:ascii="宋体" w:hAnsi="宋体" w:cs="宋体"/>
                <w:bCs/>
                <w:color w:val="auto"/>
                <w:sz w:val="24"/>
                <w:szCs w:val="24"/>
              </w:rPr>
              <w:t>数据安全与保密方案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22410162">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根据投标人提供的数据安全与保密方案（包括网络安全、数据备份机制、数据保密协议、系统安全措施等）进行综合评审：</w:t>
            </w:r>
          </w:p>
          <w:p w14:paraId="1BC020FB">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（1）方案优于采购需求，完整详细，可行性、实用性、针对性强，得5分；</w:t>
            </w:r>
          </w:p>
          <w:p w14:paraId="064A4F54">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（2）方案适合采购需求，完整详细，具有可行性、实用性和针对性，得3分；</w:t>
            </w:r>
          </w:p>
          <w:p w14:paraId="2B2CE0EF">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（3）方案基本适合采购需求，可行性、实用性、针对性有待改善，得1分；</w:t>
            </w:r>
          </w:p>
          <w:p w14:paraId="22B4E3FF">
            <w:pPr>
              <w:keepNext w:val="0"/>
              <w:keepLines w:val="0"/>
              <w:pageBreakBefore w:val="0"/>
              <w:wordWrap/>
              <w:overflowPunct/>
              <w:topLinePunct w:val="0"/>
              <w:bidi w:val="0"/>
              <w:adjustRightInd w:val="0"/>
              <w:spacing w:line="360" w:lineRule="auto"/>
              <w:rPr>
                <w:rFonts w:ascii="宋体" w:hAnsi="宋体" w:cs="宋体"/>
                <w:b/>
                <w:color w:val="auto"/>
                <w:sz w:val="24"/>
                <w:szCs w:val="24"/>
              </w:rPr>
            </w:pPr>
            <w:r>
              <w:rPr>
                <w:rFonts w:hint="eastAsia" w:ascii="宋体" w:hAnsi="宋体" w:cs="宋体"/>
                <w:b w:val="0"/>
                <w:bCs/>
                <w:color w:val="auto"/>
                <w:sz w:val="24"/>
                <w:szCs w:val="24"/>
              </w:rPr>
              <w:t>（4）方案不可行或者未提供得0分。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0A5092F">
            <w:pPr>
              <w:keepNext w:val="0"/>
              <w:keepLines w:val="0"/>
              <w:pageBreakBefore w:val="0"/>
              <w:wordWrap/>
              <w:overflowPunct/>
              <w:topLinePunct w:val="0"/>
              <w:bidi w:val="0"/>
              <w:adjustRightInd w:val="0"/>
              <w:spacing w:line="360" w:lineRule="auto"/>
              <w:jc w:val="center"/>
              <w:rPr>
                <w:rFonts w:hint="default"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0-5</w:t>
            </w:r>
          </w:p>
        </w:tc>
      </w:tr>
      <w:tr w14:paraId="792C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noWrap w:val="0"/>
            <w:vAlign w:val="center"/>
          </w:tcPr>
          <w:p w14:paraId="0612BCB4">
            <w:pPr>
              <w:keepNext w:val="0"/>
              <w:keepLines w:val="0"/>
              <w:pageBreakBefore w:val="0"/>
              <w:wordWrap/>
              <w:overflowPunct/>
              <w:topLinePunct w:val="0"/>
              <w:bidi w:val="0"/>
              <w:adjustRightInd w:val="0"/>
              <w:spacing w:line="360" w:lineRule="auto"/>
              <w:jc w:val="center"/>
              <w:rPr>
                <w:rFonts w:ascii="宋体" w:hAnsi="宋体" w:cs="宋体"/>
                <w:color w:val="auto"/>
                <w:sz w:val="24"/>
                <w:szCs w:val="24"/>
              </w:rPr>
            </w:pPr>
          </w:p>
        </w:tc>
        <w:tc>
          <w:tcPr>
            <w:tcW w:w="1074" w:type="dxa"/>
            <w:tcBorders>
              <w:left w:val="single" w:color="auto" w:sz="4" w:space="0"/>
              <w:bottom w:val="single" w:color="auto" w:sz="4" w:space="0"/>
              <w:right w:val="single" w:color="auto" w:sz="4" w:space="0"/>
            </w:tcBorders>
            <w:noWrap w:val="0"/>
            <w:vAlign w:val="center"/>
          </w:tcPr>
          <w:p w14:paraId="6BE66B8C">
            <w:pPr>
              <w:keepNext w:val="0"/>
              <w:keepLines w:val="0"/>
              <w:pageBreakBefore w:val="0"/>
              <w:wordWrap/>
              <w:overflowPunct/>
              <w:topLinePunct w:val="0"/>
              <w:bidi w:val="0"/>
              <w:adjustRightInd w:val="0"/>
              <w:spacing w:line="360" w:lineRule="auto"/>
              <w:jc w:val="center"/>
              <w:rPr>
                <w:rFonts w:hint="eastAsia" w:ascii="宋体" w:hAnsi="宋体" w:cs="宋体"/>
                <w:bCs/>
                <w:color w:val="auto"/>
                <w:sz w:val="24"/>
                <w:szCs w:val="24"/>
              </w:rPr>
            </w:pPr>
            <w:r>
              <w:rPr>
                <w:rFonts w:hint="eastAsia" w:ascii="宋体" w:hAnsi="宋体" w:cs="宋体"/>
                <w:bCs/>
                <w:color w:val="auto"/>
                <w:sz w:val="24"/>
                <w:szCs w:val="24"/>
              </w:rPr>
              <w:t>质量控制与安全保障方案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3BD105B">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根据投标人提供的质量控制与安全保障方案（包括服务质量保证体系、制度，应急处理，项目质量保障措施等）进行综合评审：</w:t>
            </w:r>
          </w:p>
          <w:p w14:paraId="637222CF">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（1）方案优于采购需求，完整详细，可行性、实用性、针对性强，得5分；</w:t>
            </w:r>
          </w:p>
          <w:p w14:paraId="56DE5F6D">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（2）方案适合采购需求，完整详细，具有可行性、实用性和针对性，得3分；</w:t>
            </w:r>
          </w:p>
          <w:p w14:paraId="60A996E0">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（3）方案基本适合采购需求，可行性、实用性、针对性有待改善，得1分；</w:t>
            </w:r>
          </w:p>
          <w:p w14:paraId="1D5820C1">
            <w:pPr>
              <w:keepNext w:val="0"/>
              <w:keepLines w:val="0"/>
              <w:pageBreakBefore w:val="0"/>
              <w:wordWrap/>
              <w:overflowPunct/>
              <w:topLinePunct w:val="0"/>
              <w:bidi w:val="0"/>
              <w:adjustRightInd w:val="0"/>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（4）方案不可行或者未提供得0分。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E8E338D">
            <w:pPr>
              <w:keepNext w:val="0"/>
              <w:keepLines w:val="0"/>
              <w:pageBreakBefore w:val="0"/>
              <w:wordWrap/>
              <w:overflowPunct/>
              <w:topLinePunct w:val="0"/>
              <w:bidi w:val="0"/>
              <w:adjustRightInd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0-5</w:t>
            </w:r>
          </w:p>
        </w:tc>
      </w:tr>
      <w:tr w14:paraId="151D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05" w:hRule="atLeast"/>
          <w:jc w:val="center"/>
        </w:trPr>
        <w:tc>
          <w:tcPr>
            <w:tcW w:w="1183" w:type="dxa"/>
            <w:tcBorders>
              <w:left w:val="single" w:color="auto" w:sz="4" w:space="0"/>
              <w:right w:val="single" w:color="auto" w:sz="4" w:space="0"/>
            </w:tcBorders>
            <w:noWrap w:val="0"/>
            <w:vAlign w:val="center"/>
          </w:tcPr>
          <w:p w14:paraId="35CD94A8">
            <w:pPr>
              <w:keepNext w:val="0"/>
              <w:keepLines w:val="0"/>
              <w:pageBreakBefore w:val="0"/>
              <w:wordWrap/>
              <w:overflowPunct/>
              <w:topLinePunct w:val="0"/>
              <w:bidi w:val="0"/>
              <w:adjustRightIn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A1B447E">
            <w:pPr>
              <w:keepNext w:val="0"/>
              <w:keepLines w:val="0"/>
              <w:pageBreakBefore w:val="0"/>
              <w:wordWrap/>
              <w:overflowPunct/>
              <w:topLinePunct w:val="0"/>
              <w:bidi w:val="0"/>
              <w:adjustRightInd w:val="0"/>
              <w:spacing w:line="360" w:lineRule="auto"/>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14763E3A">
            <w:pPr>
              <w:keepNext w:val="0"/>
              <w:keepLines w:val="0"/>
              <w:pageBreakBefore w:val="0"/>
              <w:widowControl/>
              <w:numPr>
                <w:ilvl w:val="0"/>
                <w:numId w:val="0"/>
              </w:numPr>
              <w:wordWrap/>
              <w:overflowPunct/>
              <w:topLinePunct w:val="0"/>
              <w:bidi w:val="0"/>
              <w:adjustRightInd w:val="0"/>
              <w:spacing w:line="36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评审基准价的计算：</w:t>
            </w:r>
          </w:p>
          <w:p w14:paraId="56613322">
            <w:pPr>
              <w:pStyle w:val="2"/>
              <w:keepNext w:val="0"/>
              <w:keepLines w:val="0"/>
              <w:pageBreakBefore w:val="0"/>
              <w:numPr>
                <w:ilvl w:val="0"/>
                <w:numId w:val="0"/>
              </w:numPr>
              <w:wordWrap/>
              <w:overflowPunct/>
              <w:topLinePunct w:val="0"/>
              <w:bidi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有效报价去掉一个最高值和一个最低值后的算术平均值即为评审基准价（如果参与投标报价平均值计算的有效投标人少于5家（不含5家）时，则计算投标报价平均值时不去掉最高值和最低值）。评审基准价四舍五入保留至小数点后两位数。</w:t>
            </w:r>
          </w:p>
          <w:p w14:paraId="50A81812">
            <w:pPr>
              <w:pStyle w:val="2"/>
              <w:keepNext w:val="0"/>
              <w:keepLines w:val="0"/>
              <w:pageBreakBefore w:val="0"/>
              <w:numPr>
                <w:ilvl w:val="0"/>
                <w:numId w:val="0"/>
              </w:numPr>
              <w:wordWrap/>
              <w:overflowPunct/>
              <w:topLinePunct w:val="0"/>
              <w:bidi w:val="0"/>
              <w:adjustRightInd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偏差率的计算：</w:t>
            </w:r>
          </w:p>
          <w:p w14:paraId="5494636D">
            <w:pPr>
              <w:pStyle w:val="2"/>
              <w:keepNext w:val="0"/>
              <w:keepLines w:val="0"/>
              <w:pageBreakBefore w:val="0"/>
              <w:numPr>
                <w:ilvl w:val="0"/>
                <w:numId w:val="0"/>
              </w:numPr>
              <w:wordWrap/>
              <w:overflowPunct/>
              <w:topLinePunct w:val="0"/>
              <w:bidi w:val="0"/>
              <w:adjustRightInd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偏差率=100%×（投标人投标报价-评审基准价）/评审基准价，偏差率保留两位小数。</w:t>
            </w:r>
          </w:p>
          <w:p w14:paraId="036FC2A8">
            <w:pPr>
              <w:pStyle w:val="2"/>
              <w:keepNext w:val="0"/>
              <w:keepLines w:val="0"/>
              <w:pageBreakBefore w:val="0"/>
              <w:numPr>
                <w:ilvl w:val="0"/>
                <w:numId w:val="0"/>
              </w:numPr>
              <w:wordWrap/>
              <w:overflowPunct/>
              <w:topLinePunct w:val="0"/>
              <w:bidi w:val="0"/>
              <w:adjustRightInd w:val="0"/>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价格分计算：</w:t>
            </w:r>
          </w:p>
          <w:p w14:paraId="47D13E38">
            <w:pPr>
              <w:pStyle w:val="2"/>
              <w:keepNext w:val="0"/>
              <w:keepLines w:val="0"/>
              <w:pageBreakBefore w:val="0"/>
              <w:numPr>
                <w:ilvl w:val="0"/>
                <w:numId w:val="0"/>
              </w:numPr>
              <w:wordWrap/>
              <w:overflowPunct/>
              <w:topLinePunct w:val="0"/>
              <w:bidi w:val="0"/>
              <w:adjustRightInd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当投标报价=评审基准价，投标报价得分=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p>
          <w:p w14:paraId="27EAF00F">
            <w:pPr>
              <w:pStyle w:val="2"/>
              <w:keepNext w:val="0"/>
              <w:keepLines w:val="0"/>
              <w:pageBreakBefore w:val="0"/>
              <w:numPr>
                <w:ilvl w:val="0"/>
                <w:numId w:val="0"/>
              </w:numPr>
              <w:wordWrap/>
              <w:overflowPunct/>
              <w:topLinePunct w:val="0"/>
              <w:bidi w:val="0"/>
              <w:adjustRightInd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当投标报价＞评审基准价，投标报价得分=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-偏差率×100×E；</w:t>
            </w:r>
          </w:p>
          <w:p w14:paraId="65055C41">
            <w:pPr>
              <w:pStyle w:val="2"/>
              <w:keepNext w:val="0"/>
              <w:keepLines w:val="0"/>
              <w:pageBreakBefore w:val="0"/>
              <w:numPr>
                <w:ilvl w:val="0"/>
                <w:numId w:val="0"/>
              </w:numPr>
              <w:wordWrap/>
              <w:overflowPunct/>
              <w:topLinePunct w:val="0"/>
              <w:bidi w:val="0"/>
              <w:adjustRightInd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当投标报价＜评审基准价，投标报价得分=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+偏差率×100×E；</w:t>
            </w:r>
          </w:p>
          <w:p w14:paraId="29EAECCE">
            <w:pPr>
              <w:pStyle w:val="2"/>
              <w:keepNext w:val="0"/>
              <w:keepLines w:val="0"/>
              <w:pageBreakBefore w:val="0"/>
              <w:numPr>
                <w:ilvl w:val="0"/>
                <w:numId w:val="0"/>
              </w:numPr>
              <w:wordWrap/>
              <w:overflowPunct/>
              <w:topLinePunct w:val="0"/>
              <w:bidi w:val="0"/>
              <w:adjustRightInd w:val="0"/>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其中E=0.2，中间值按比例内插，四舍五入，保留2位小数。</w:t>
            </w:r>
          </w:p>
          <w:p w14:paraId="162635BF">
            <w:pPr>
              <w:keepNext w:val="0"/>
              <w:keepLines w:val="0"/>
              <w:pageBreakBefore w:val="0"/>
              <w:wordWrap/>
              <w:overflowPunct/>
              <w:topLinePunct w:val="0"/>
              <w:bidi w:val="0"/>
              <w:adjustRightInd w:val="0"/>
              <w:spacing w:line="360" w:lineRule="auto"/>
              <w:rPr>
                <w:rFonts w:hint="eastAsia" w:ascii="宋体" w:hAnsi="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注：本项最高得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分，最低得0分。</w:t>
            </w:r>
          </w:p>
        </w:tc>
      </w:tr>
    </w:tbl>
    <w:p w14:paraId="00EFDEC8">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right="0" w:rightChars="0" w:firstLine="480" w:firstLineChars="200"/>
        <w:jc w:val="both"/>
        <w:textAlignment w:val="auto"/>
        <w:rPr>
          <w:rFonts w:hint="eastAsia" w:ascii="宋体" w:hAnsi="宋体"/>
          <w:b/>
          <w:bCs/>
          <w:color w:val="auto"/>
          <w:sz w:val="24"/>
          <w:szCs w:val="24"/>
        </w:rPr>
      </w:pPr>
      <w:r>
        <w:rPr>
          <w:rFonts w:hint="eastAsia" w:ascii="宋体" w:hAnsi="宋体"/>
          <w:b/>
          <w:bCs/>
          <w:color w:val="auto"/>
          <w:sz w:val="24"/>
          <w:szCs w:val="24"/>
        </w:rPr>
        <w:t>技术标分汇总方法</w:t>
      </w:r>
    </w:p>
    <w:p w14:paraId="3D2399F8">
      <w:pPr>
        <w:keepNext w:val="0"/>
        <w:keepLines w:val="0"/>
        <w:pageBreakBefore w:val="0"/>
        <w:widowControl w:val="0"/>
        <w:numPr>
          <w:ilvl w:val="0"/>
          <w:numId w:val="0"/>
        </w:numPr>
        <w:kinsoku/>
        <w:wordWrap/>
        <w:overflowPunct/>
        <w:topLinePunct w:val="0"/>
        <w:autoSpaceDE/>
        <w:autoSpaceDN/>
        <w:bidi w:val="0"/>
        <w:adjustRightInd w:val="0"/>
        <w:spacing w:line="360" w:lineRule="auto"/>
        <w:ind w:leftChars="0" w:right="0" w:rightChars="0" w:firstLine="480" w:firstLineChars="200"/>
        <w:jc w:val="both"/>
        <w:textAlignment w:val="auto"/>
        <w:rPr>
          <w:rFonts w:hint="eastAsia" w:ascii="宋体" w:hAnsi="宋体"/>
          <w:color w:val="auto"/>
          <w:sz w:val="24"/>
          <w:szCs w:val="24"/>
        </w:rPr>
      </w:pPr>
      <w:r>
        <w:rPr>
          <w:rFonts w:hint="eastAsia" w:ascii="宋体" w:hAnsi="宋体"/>
          <w:color w:val="auto"/>
          <w:sz w:val="24"/>
          <w:szCs w:val="24"/>
        </w:rPr>
        <w:t>对某一</w:t>
      </w:r>
      <w:r>
        <w:rPr>
          <w:rFonts w:hint="eastAsia" w:ascii="宋体" w:hAnsi="宋体"/>
          <w:color w:val="auto"/>
          <w:sz w:val="24"/>
          <w:szCs w:val="24"/>
          <w:lang w:eastAsia="zh-CN"/>
        </w:rPr>
        <w:t>投标人</w:t>
      </w:r>
      <w:r>
        <w:rPr>
          <w:rFonts w:hint="eastAsia" w:ascii="宋体" w:hAnsi="宋体"/>
          <w:color w:val="auto"/>
          <w:sz w:val="24"/>
          <w:szCs w:val="24"/>
        </w:rPr>
        <w:t>的技术标的每一个指标项得分，取各位评委评分之平均值，四舍五入保留至小数点后两位数，得到该</w:t>
      </w:r>
      <w:r>
        <w:rPr>
          <w:rFonts w:hint="eastAsia" w:ascii="宋体" w:hAnsi="宋体"/>
          <w:color w:val="auto"/>
          <w:sz w:val="24"/>
          <w:szCs w:val="24"/>
          <w:lang w:eastAsia="zh-CN"/>
        </w:rPr>
        <w:t>投标人</w:t>
      </w:r>
      <w:r>
        <w:rPr>
          <w:rFonts w:hint="eastAsia" w:ascii="宋体" w:hAnsi="宋体"/>
          <w:color w:val="auto"/>
          <w:sz w:val="24"/>
          <w:szCs w:val="24"/>
        </w:rPr>
        <w:t>该指标项的得分。再将</w:t>
      </w:r>
      <w:r>
        <w:rPr>
          <w:rFonts w:hint="eastAsia" w:ascii="宋体" w:hAnsi="宋体"/>
          <w:color w:val="auto"/>
          <w:sz w:val="24"/>
          <w:szCs w:val="24"/>
          <w:lang w:eastAsia="zh-CN"/>
        </w:rPr>
        <w:t>投标人</w:t>
      </w:r>
      <w:r>
        <w:rPr>
          <w:rFonts w:hint="eastAsia" w:ascii="宋体" w:hAnsi="宋体"/>
          <w:color w:val="auto"/>
          <w:sz w:val="24"/>
          <w:szCs w:val="24"/>
        </w:rPr>
        <w:t>每个技术标的指标项得分进行汇总，得到该</w:t>
      </w:r>
      <w:r>
        <w:rPr>
          <w:rFonts w:hint="eastAsia" w:ascii="宋体" w:hAnsi="宋体"/>
          <w:color w:val="auto"/>
          <w:sz w:val="24"/>
          <w:szCs w:val="24"/>
          <w:lang w:eastAsia="zh-CN"/>
        </w:rPr>
        <w:t>投标人</w:t>
      </w:r>
      <w:r>
        <w:rPr>
          <w:rFonts w:hint="eastAsia" w:ascii="宋体" w:hAnsi="宋体"/>
          <w:color w:val="auto"/>
          <w:sz w:val="24"/>
          <w:szCs w:val="24"/>
        </w:rPr>
        <w:t>的技术标分之和。</w:t>
      </w:r>
    </w:p>
    <w:p w14:paraId="69B24107">
      <w:pPr>
        <w:pStyle w:val="9"/>
        <w:keepNext w:val="0"/>
        <w:keepLines w:val="0"/>
        <w:pageBreakBefore w:val="0"/>
        <w:widowControl w:val="0"/>
        <w:kinsoku/>
        <w:wordWrap/>
        <w:overflowPunct/>
        <w:topLinePunct w:val="0"/>
        <w:autoSpaceDE/>
        <w:autoSpaceDN/>
        <w:bidi w:val="0"/>
        <w:adjustRightInd w:val="0"/>
        <w:spacing w:line="360" w:lineRule="auto"/>
        <w:ind w:right="0" w:firstLine="495"/>
        <w:jc w:val="both"/>
        <w:textAlignment w:val="auto"/>
        <w:rPr>
          <w:rFonts w:hint="eastAsia" w:ascii="宋体" w:hAnsi="宋体" w:eastAsia="宋体"/>
          <w:b/>
          <w:bCs/>
          <w:color w:val="auto"/>
          <w:sz w:val="24"/>
          <w:szCs w:val="24"/>
        </w:rPr>
      </w:pPr>
      <w:r>
        <w:rPr>
          <w:rFonts w:hint="eastAsia" w:ascii="宋体" w:hAnsi="宋体" w:eastAsia="宋体"/>
          <w:b/>
          <w:bCs/>
          <w:color w:val="auto"/>
          <w:sz w:val="24"/>
          <w:szCs w:val="24"/>
        </w:rPr>
        <w:t>得分汇总</w:t>
      </w:r>
    </w:p>
    <w:p w14:paraId="7489EEF3">
      <w:pPr>
        <w:pStyle w:val="9"/>
        <w:keepNext w:val="0"/>
        <w:keepLines w:val="0"/>
        <w:pageBreakBefore w:val="0"/>
        <w:widowControl w:val="0"/>
        <w:kinsoku/>
        <w:wordWrap/>
        <w:overflowPunct/>
        <w:topLinePunct w:val="0"/>
        <w:autoSpaceDE/>
        <w:autoSpaceDN/>
        <w:bidi w:val="0"/>
        <w:adjustRightInd w:val="0"/>
        <w:spacing w:line="360" w:lineRule="auto"/>
        <w:ind w:right="0" w:firstLine="495"/>
        <w:jc w:val="both"/>
        <w:textAlignment w:val="auto"/>
        <w:rPr>
          <w:rFonts w:ascii="宋体" w:hAnsi="宋体" w:eastAsia="宋体"/>
          <w:color w:val="auto"/>
          <w:sz w:val="24"/>
          <w:szCs w:val="24"/>
        </w:rPr>
      </w:pPr>
      <w:r>
        <w:rPr>
          <w:rFonts w:hint="eastAsia" w:ascii="宋体" w:hAnsi="宋体" w:eastAsia="宋体"/>
          <w:color w:val="auto"/>
          <w:sz w:val="24"/>
          <w:szCs w:val="24"/>
        </w:rPr>
        <w:t>（1）将每个有效</w:t>
      </w:r>
      <w:r>
        <w:rPr>
          <w:rFonts w:hint="eastAsia" w:ascii="宋体" w:hAnsi="宋体" w:eastAsia="宋体"/>
          <w:color w:val="auto"/>
          <w:sz w:val="24"/>
          <w:szCs w:val="24"/>
          <w:lang w:eastAsia="zh-CN"/>
        </w:rPr>
        <w:t>投标人</w:t>
      </w:r>
      <w:r>
        <w:rPr>
          <w:rFonts w:hint="eastAsia" w:ascii="宋体" w:hAnsi="宋体" w:eastAsia="宋体"/>
          <w:color w:val="auto"/>
          <w:sz w:val="24"/>
          <w:szCs w:val="24"/>
        </w:rPr>
        <w:t>的技术标分之和加上根据上述标准计算出的价格分，即为该</w:t>
      </w:r>
      <w:r>
        <w:rPr>
          <w:rFonts w:hint="eastAsia" w:ascii="宋体" w:hAnsi="宋体" w:eastAsia="宋体"/>
          <w:color w:val="auto"/>
          <w:sz w:val="24"/>
          <w:szCs w:val="24"/>
          <w:lang w:eastAsia="zh-CN"/>
        </w:rPr>
        <w:t>投标人</w:t>
      </w:r>
      <w:r>
        <w:rPr>
          <w:rFonts w:hint="eastAsia" w:ascii="宋体" w:hAnsi="宋体" w:eastAsia="宋体"/>
          <w:color w:val="auto"/>
          <w:sz w:val="24"/>
          <w:szCs w:val="24"/>
        </w:rPr>
        <w:t>的综合总得分。</w:t>
      </w:r>
    </w:p>
    <w:p w14:paraId="0F2CAC67">
      <w:pPr>
        <w:pStyle w:val="9"/>
        <w:keepNext w:val="0"/>
        <w:keepLines w:val="0"/>
        <w:pageBreakBefore w:val="0"/>
        <w:widowControl w:val="0"/>
        <w:kinsoku/>
        <w:wordWrap/>
        <w:overflowPunct/>
        <w:topLinePunct w:val="0"/>
        <w:autoSpaceDE/>
        <w:autoSpaceDN/>
        <w:bidi w:val="0"/>
        <w:adjustRightInd w:val="0"/>
        <w:spacing w:line="360" w:lineRule="auto"/>
        <w:ind w:right="0" w:firstLine="495"/>
        <w:jc w:val="both"/>
        <w:textAlignment w:val="auto"/>
        <w:rPr>
          <w:rFonts w:ascii="宋体" w:hAnsi="宋体" w:eastAsia="宋体"/>
          <w:color w:val="auto"/>
          <w:sz w:val="24"/>
          <w:szCs w:val="24"/>
        </w:rPr>
      </w:pPr>
      <w:r>
        <w:rPr>
          <w:rFonts w:hint="eastAsia" w:ascii="宋体" w:hAnsi="宋体" w:eastAsia="宋体"/>
          <w:color w:val="auto"/>
          <w:sz w:val="24"/>
          <w:szCs w:val="24"/>
        </w:rPr>
        <w:t>（2）按照有效</w:t>
      </w:r>
      <w:r>
        <w:rPr>
          <w:rFonts w:hint="eastAsia" w:ascii="宋体" w:hAnsi="宋体" w:eastAsia="宋体"/>
          <w:color w:val="auto"/>
          <w:sz w:val="24"/>
          <w:szCs w:val="24"/>
          <w:lang w:eastAsia="zh-CN"/>
        </w:rPr>
        <w:t>投标人</w:t>
      </w:r>
      <w:r>
        <w:rPr>
          <w:rFonts w:hint="eastAsia" w:ascii="宋体" w:hAnsi="宋体" w:eastAsia="宋体"/>
          <w:color w:val="auto"/>
          <w:sz w:val="24"/>
          <w:szCs w:val="24"/>
        </w:rPr>
        <w:t>综合总得分由高到低依次排出</w:t>
      </w:r>
      <w:r>
        <w:rPr>
          <w:rFonts w:hint="eastAsia" w:ascii="宋体" w:hAnsi="宋体" w:eastAsia="宋体"/>
          <w:color w:val="auto"/>
          <w:sz w:val="24"/>
          <w:szCs w:val="24"/>
          <w:lang w:eastAsia="zh-CN"/>
        </w:rPr>
        <w:t>中标人</w:t>
      </w:r>
      <w:r>
        <w:rPr>
          <w:rFonts w:hint="eastAsia" w:ascii="宋体" w:hAnsi="宋体" w:eastAsia="宋体"/>
          <w:color w:val="auto"/>
          <w:sz w:val="24"/>
          <w:szCs w:val="24"/>
        </w:rPr>
        <w:t>及中标候选</w:t>
      </w:r>
      <w:r>
        <w:rPr>
          <w:rFonts w:hint="eastAsia" w:ascii="宋体" w:hAnsi="宋体" w:eastAsia="宋体"/>
          <w:color w:val="auto"/>
          <w:sz w:val="24"/>
          <w:szCs w:val="24"/>
          <w:lang w:eastAsia="zh-CN"/>
        </w:rPr>
        <w:t>人</w:t>
      </w:r>
      <w:r>
        <w:rPr>
          <w:rFonts w:hint="eastAsia" w:ascii="宋体" w:hAnsi="宋体" w:eastAsia="宋体"/>
          <w:color w:val="auto"/>
          <w:sz w:val="24"/>
          <w:szCs w:val="24"/>
        </w:rPr>
        <w:t>。</w:t>
      </w:r>
    </w:p>
    <w:p w14:paraId="10109D7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43F43"/>
    <w:multiLevelType w:val="multilevel"/>
    <w:tmpl w:val="65043F4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0D73"/>
    <w:rsid w:val="006D6F3B"/>
    <w:rsid w:val="0078768E"/>
    <w:rsid w:val="00A12741"/>
    <w:rsid w:val="00AE5908"/>
    <w:rsid w:val="00EB1C0E"/>
    <w:rsid w:val="02296E92"/>
    <w:rsid w:val="027A76EE"/>
    <w:rsid w:val="02816CCE"/>
    <w:rsid w:val="02A93B2F"/>
    <w:rsid w:val="031E276F"/>
    <w:rsid w:val="033E4BBF"/>
    <w:rsid w:val="034F2928"/>
    <w:rsid w:val="03500937"/>
    <w:rsid w:val="0385459C"/>
    <w:rsid w:val="03D33559"/>
    <w:rsid w:val="03D66BA6"/>
    <w:rsid w:val="03EA2651"/>
    <w:rsid w:val="041A2F36"/>
    <w:rsid w:val="043B1E4C"/>
    <w:rsid w:val="04CE3D21"/>
    <w:rsid w:val="05103390"/>
    <w:rsid w:val="054D10EA"/>
    <w:rsid w:val="05997E8B"/>
    <w:rsid w:val="05C23886"/>
    <w:rsid w:val="06565D7C"/>
    <w:rsid w:val="073E6F3C"/>
    <w:rsid w:val="0785449D"/>
    <w:rsid w:val="080D690E"/>
    <w:rsid w:val="095A3DD5"/>
    <w:rsid w:val="0978425B"/>
    <w:rsid w:val="098A290C"/>
    <w:rsid w:val="098B3F8E"/>
    <w:rsid w:val="09976DD7"/>
    <w:rsid w:val="0A8C6210"/>
    <w:rsid w:val="0AA65AE1"/>
    <w:rsid w:val="0ACD76E7"/>
    <w:rsid w:val="0B1526A9"/>
    <w:rsid w:val="0B642CE9"/>
    <w:rsid w:val="0B9A495D"/>
    <w:rsid w:val="0C1B5A9E"/>
    <w:rsid w:val="0C3703FE"/>
    <w:rsid w:val="0C37664F"/>
    <w:rsid w:val="0C3B1F61"/>
    <w:rsid w:val="0C811679"/>
    <w:rsid w:val="0CE265BB"/>
    <w:rsid w:val="0CE42333"/>
    <w:rsid w:val="0CE642FD"/>
    <w:rsid w:val="0D6B4803"/>
    <w:rsid w:val="0D75742F"/>
    <w:rsid w:val="0D7C6A10"/>
    <w:rsid w:val="0DAD0977"/>
    <w:rsid w:val="0DC12675"/>
    <w:rsid w:val="0E012A71"/>
    <w:rsid w:val="0E1704E7"/>
    <w:rsid w:val="0E9C09EC"/>
    <w:rsid w:val="0F1467D4"/>
    <w:rsid w:val="0F9718DF"/>
    <w:rsid w:val="0FE32D76"/>
    <w:rsid w:val="10637A13"/>
    <w:rsid w:val="109776BD"/>
    <w:rsid w:val="10BC5375"/>
    <w:rsid w:val="10CB7366"/>
    <w:rsid w:val="11D54941"/>
    <w:rsid w:val="120668A8"/>
    <w:rsid w:val="1235718D"/>
    <w:rsid w:val="124E024F"/>
    <w:rsid w:val="12614426"/>
    <w:rsid w:val="1272218F"/>
    <w:rsid w:val="129B7938"/>
    <w:rsid w:val="12F47048"/>
    <w:rsid w:val="13070B2A"/>
    <w:rsid w:val="13426006"/>
    <w:rsid w:val="135D2E40"/>
    <w:rsid w:val="13954387"/>
    <w:rsid w:val="13F60B9E"/>
    <w:rsid w:val="14186D67"/>
    <w:rsid w:val="1424395D"/>
    <w:rsid w:val="143D67CD"/>
    <w:rsid w:val="1441006B"/>
    <w:rsid w:val="144B713C"/>
    <w:rsid w:val="147A532B"/>
    <w:rsid w:val="148166BA"/>
    <w:rsid w:val="148B12E6"/>
    <w:rsid w:val="151632A6"/>
    <w:rsid w:val="15437E13"/>
    <w:rsid w:val="15E96C0C"/>
    <w:rsid w:val="1683496B"/>
    <w:rsid w:val="171E6442"/>
    <w:rsid w:val="178766DD"/>
    <w:rsid w:val="17C95975"/>
    <w:rsid w:val="182B52BA"/>
    <w:rsid w:val="18491BE4"/>
    <w:rsid w:val="186C142F"/>
    <w:rsid w:val="18AB63FB"/>
    <w:rsid w:val="18AD7C0E"/>
    <w:rsid w:val="18F002B2"/>
    <w:rsid w:val="1998697F"/>
    <w:rsid w:val="199E386A"/>
    <w:rsid w:val="19D43730"/>
    <w:rsid w:val="1ABA46D4"/>
    <w:rsid w:val="1B012302"/>
    <w:rsid w:val="1B063DBD"/>
    <w:rsid w:val="1B19589E"/>
    <w:rsid w:val="1B43291B"/>
    <w:rsid w:val="1BAA0BEC"/>
    <w:rsid w:val="1BE539D2"/>
    <w:rsid w:val="1C2564C4"/>
    <w:rsid w:val="1C3E1334"/>
    <w:rsid w:val="1C9553F8"/>
    <w:rsid w:val="1CCC06EE"/>
    <w:rsid w:val="1D2E13A9"/>
    <w:rsid w:val="1D76522A"/>
    <w:rsid w:val="1E7726E6"/>
    <w:rsid w:val="1F464788"/>
    <w:rsid w:val="1F90634B"/>
    <w:rsid w:val="1FFE0677"/>
    <w:rsid w:val="200F54C2"/>
    <w:rsid w:val="20607ACB"/>
    <w:rsid w:val="20904FAB"/>
    <w:rsid w:val="20971013"/>
    <w:rsid w:val="20B16579"/>
    <w:rsid w:val="21294361"/>
    <w:rsid w:val="21562C7C"/>
    <w:rsid w:val="21BE0F4D"/>
    <w:rsid w:val="21EA1D42"/>
    <w:rsid w:val="21F43645"/>
    <w:rsid w:val="223034CD"/>
    <w:rsid w:val="229E0D7F"/>
    <w:rsid w:val="22CF0F38"/>
    <w:rsid w:val="23411E36"/>
    <w:rsid w:val="2355768F"/>
    <w:rsid w:val="237C2E6E"/>
    <w:rsid w:val="239A32F4"/>
    <w:rsid w:val="23D04F68"/>
    <w:rsid w:val="240F5A90"/>
    <w:rsid w:val="242B6642"/>
    <w:rsid w:val="242D3F10"/>
    <w:rsid w:val="242F6132"/>
    <w:rsid w:val="2435126F"/>
    <w:rsid w:val="24AA57B9"/>
    <w:rsid w:val="24C04FDC"/>
    <w:rsid w:val="24F37160"/>
    <w:rsid w:val="24FD1D8D"/>
    <w:rsid w:val="253D662D"/>
    <w:rsid w:val="25537BFE"/>
    <w:rsid w:val="259F4BF2"/>
    <w:rsid w:val="25C248B2"/>
    <w:rsid w:val="267918E7"/>
    <w:rsid w:val="268A58A2"/>
    <w:rsid w:val="268D5392"/>
    <w:rsid w:val="26B648E9"/>
    <w:rsid w:val="26D42FC1"/>
    <w:rsid w:val="26EB3E67"/>
    <w:rsid w:val="27133AE9"/>
    <w:rsid w:val="27313F6F"/>
    <w:rsid w:val="275F6D2E"/>
    <w:rsid w:val="277B51EB"/>
    <w:rsid w:val="27D8088F"/>
    <w:rsid w:val="286640ED"/>
    <w:rsid w:val="28F2772E"/>
    <w:rsid w:val="290C4C94"/>
    <w:rsid w:val="2976210D"/>
    <w:rsid w:val="297939AC"/>
    <w:rsid w:val="29A44ECD"/>
    <w:rsid w:val="29E928DF"/>
    <w:rsid w:val="2A3F4BF5"/>
    <w:rsid w:val="2A842608"/>
    <w:rsid w:val="2AC60E73"/>
    <w:rsid w:val="2AE632C3"/>
    <w:rsid w:val="2B2838DB"/>
    <w:rsid w:val="2B4104F9"/>
    <w:rsid w:val="2B5E14A3"/>
    <w:rsid w:val="2BF37A45"/>
    <w:rsid w:val="2BF5596C"/>
    <w:rsid w:val="2C901738"/>
    <w:rsid w:val="2C9C632F"/>
    <w:rsid w:val="2CE675AA"/>
    <w:rsid w:val="2D2B1461"/>
    <w:rsid w:val="2D3B78F6"/>
    <w:rsid w:val="2D645045"/>
    <w:rsid w:val="2D83129D"/>
    <w:rsid w:val="2D880661"/>
    <w:rsid w:val="2D9D02AE"/>
    <w:rsid w:val="2DAC07F4"/>
    <w:rsid w:val="2DBD030B"/>
    <w:rsid w:val="2DC773DC"/>
    <w:rsid w:val="2DEA4E78"/>
    <w:rsid w:val="2E271C28"/>
    <w:rsid w:val="2E3D769E"/>
    <w:rsid w:val="2E976DAE"/>
    <w:rsid w:val="2EC15BD9"/>
    <w:rsid w:val="2F266384"/>
    <w:rsid w:val="2F4A02C4"/>
    <w:rsid w:val="2F65383E"/>
    <w:rsid w:val="2F7C41F6"/>
    <w:rsid w:val="2FCF4325"/>
    <w:rsid w:val="3025488D"/>
    <w:rsid w:val="303E14AB"/>
    <w:rsid w:val="306B04F2"/>
    <w:rsid w:val="30DB3959"/>
    <w:rsid w:val="31215055"/>
    <w:rsid w:val="315C608D"/>
    <w:rsid w:val="31C679AA"/>
    <w:rsid w:val="321D581C"/>
    <w:rsid w:val="324C4353"/>
    <w:rsid w:val="32546D64"/>
    <w:rsid w:val="32A23F73"/>
    <w:rsid w:val="32FA5B5D"/>
    <w:rsid w:val="3316226B"/>
    <w:rsid w:val="33282AD3"/>
    <w:rsid w:val="33AD2BD0"/>
    <w:rsid w:val="33F46A50"/>
    <w:rsid w:val="33F702EF"/>
    <w:rsid w:val="340B78F6"/>
    <w:rsid w:val="348222AE"/>
    <w:rsid w:val="34D83C7C"/>
    <w:rsid w:val="34FD36E3"/>
    <w:rsid w:val="35042CC3"/>
    <w:rsid w:val="35DB7EC8"/>
    <w:rsid w:val="35E36D7D"/>
    <w:rsid w:val="35F9034E"/>
    <w:rsid w:val="3627310D"/>
    <w:rsid w:val="363650FE"/>
    <w:rsid w:val="365E4655"/>
    <w:rsid w:val="36625EF3"/>
    <w:rsid w:val="374C2700"/>
    <w:rsid w:val="378E2D18"/>
    <w:rsid w:val="37B00EE0"/>
    <w:rsid w:val="37BC5AD7"/>
    <w:rsid w:val="395D0BF4"/>
    <w:rsid w:val="397C551E"/>
    <w:rsid w:val="39882115"/>
    <w:rsid w:val="39A86313"/>
    <w:rsid w:val="39B50A30"/>
    <w:rsid w:val="39BC1DBE"/>
    <w:rsid w:val="39DE1D35"/>
    <w:rsid w:val="3A914FF9"/>
    <w:rsid w:val="3AA82343"/>
    <w:rsid w:val="3AEC0481"/>
    <w:rsid w:val="3BAE1BDB"/>
    <w:rsid w:val="3BC248D5"/>
    <w:rsid w:val="3BFA6BCE"/>
    <w:rsid w:val="3BFF2436"/>
    <w:rsid w:val="3C3A521C"/>
    <w:rsid w:val="3D0F0457"/>
    <w:rsid w:val="3D85696B"/>
    <w:rsid w:val="3E3A0EB7"/>
    <w:rsid w:val="3E573E64"/>
    <w:rsid w:val="3E9B4698"/>
    <w:rsid w:val="3EEF0540"/>
    <w:rsid w:val="3F8838CF"/>
    <w:rsid w:val="3FA255B3"/>
    <w:rsid w:val="3FB5178A"/>
    <w:rsid w:val="404B79F8"/>
    <w:rsid w:val="406B3BF6"/>
    <w:rsid w:val="40923879"/>
    <w:rsid w:val="40D51455"/>
    <w:rsid w:val="410D2F00"/>
    <w:rsid w:val="41114402"/>
    <w:rsid w:val="411C1395"/>
    <w:rsid w:val="41270465"/>
    <w:rsid w:val="41452699"/>
    <w:rsid w:val="41546D80"/>
    <w:rsid w:val="417E7959"/>
    <w:rsid w:val="425863FC"/>
    <w:rsid w:val="435C016E"/>
    <w:rsid w:val="43AA712C"/>
    <w:rsid w:val="43E268C5"/>
    <w:rsid w:val="440305EA"/>
    <w:rsid w:val="449D459A"/>
    <w:rsid w:val="44ED72D0"/>
    <w:rsid w:val="44FA7C3F"/>
    <w:rsid w:val="4508235C"/>
    <w:rsid w:val="45303661"/>
    <w:rsid w:val="45390767"/>
    <w:rsid w:val="454669E0"/>
    <w:rsid w:val="45B222C8"/>
    <w:rsid w:val="46625A9C"/>
    <w:rsid w:val="46841EB6"/>
    <w:rsid w:val="46C93D6D"/>
    <w:rsid w:val="475E44B5"/>
    <w:rsid w:val="481E59F2"/>
    <w:rsid w:val="48D20D16"/>
    <w:rsid w:val="48D367DD"/>
    <w:rsid w:val="48F7696F"/>
    <w:rsid w:val="492E435B"/>
    <w:rsid w:val="497C6E74"/>
    <w:rsid w:val="498D1081"/>
    <w:rsid w:val="49902920"/>
    <w:rsid w:val="4A05330E"/>
    <w:rsid w:val="4A207B57"/>
    <w:rsid w:val="4A314103"/>
    <w:rsid w:val="4A742241"/>
    <w:rsid w:val="4A8204BA"/>
    <w:rsid w:val="4A857FAB"/>
    <w:rsid w:val="4AFD2237"/>
    <w:rsid w:val="4BF947AC"/>
    <w:rsid w:val="4CA566E2"/>
    <w:rsid w:val="4CD314A1"/>
    <w:rsid w:val="4D924EB8"/>
    <w:rsid w:val="4DFF0074"/>
    <w:rsid w:val="4E261AA5"/>
    <w:rsid w:val="4EF9359B"/>
    <w:rsid w:val="4EFD45B3"/>
    <w:rsid w:val="4F147B4F"/>
    <w:rsid w:val="4F22401A"/>
    <w:rsid w:val="4F6C1739"/>
    <w:rsid w:val="4FB57524"/>
    <w:rsid w:val="4FD277EE"/>
    <w:rsid w:val="4FE65048"/>
    <w:rsid w:val="4FE87012"/>
    <w:rsid w:val="50120532"/>
    <w:rsid w:val="50B67110"/>
    <w:rsid w:val="514F30C0"/>
    <w:rsid w:val="51874608"/>
    <w:rsid w:val="51D07D5D"/>
    <w:rsid w:val="52195BA8"/>
    <w:rsid w:val="52701540"/>
    <w:rsid w:val="52A15B9E"/>
    <w:rsid w:val="52BC4786"/>
    <w:rsid w:val="53051C89"/>
    <w:rsid w:val="53DC50DF"/>
    <w:rsid w:val="5406215C"/>
    <w:rsid w:val="545509EE"/>
    <w:rsid w:val="54751090"/>
    <w:rsid w:val="54A84FC1"/>
    <w:rsid w:val="54CC5154"/>
    <w:rsid w:val="54F63F7F"/>
    <w:rsid w:val="5540344C"/>
    <w:rsid w:val="55546EF7"/>
    <w:rsid w:val="559E0172"/>
    <w:rsid w:val="55A90FF1"/>
    <w:rsid w:val="55AA4D69"/>
    <w:rsid w:val="55C0458D"/>
    <w:rsid w:val="563805C7"/>
    <w:rsid w:val="566B44F9"/>
    <w:rsid w:val="56955A19"/>
    <w:rsid w:val="569A3030"/>
    <w:rsid w:val="56A417B8"/>
    <w:rsid w:val="572B1EDA"/>
    <w:rsid w:val="576F0018"/>
    <w:rsid w:val="579D2DD8"/>
    <w:rsid w:val="57B123DF"/>
    <w:rsid w:val="58020E8D"/>
    <w:rsid w:val="5842572D"/>
    <w:rsid w:val="584B45E2"/>
    <w:rsid w:val="584E40D2"/>
    <w:rsid w:val="59050C34"/>
    <w:rsid w:val="591A2206"/>
    <w:rsid w:val="593D4189"/>
    <w:rsid w:val="59407EBE"/>
    <w:rsid w:val="59413C36"/>
    <w:rsid w:val="597162CA"/>
    <w:rsid w:val="59BD32BD"/>
    <w:rsid w:val="5A5A108A"/>
    <w:rsid w:val="5B2F69BE"/>
    <w:rsid w:val="5B321A89"/>
    <w:rsid w:val="5B3475AF"/>
    <w:rsid w:val="5B386973"/>
    <w:rsid w:val="5B6836FC"/>
    <w:rsid w:val="5B77749C"/>
    <w:rsid w:val="5C1F025F"/>
    <w:rsid w:val="5C6C4B26"/>
    <w:rsid w:val="5CB564CD"/>
    <w:rsid w:val="5CDD5A24"/>
    <w:rsid w:val="5DD961EC"/>
    <w:rsid w:val="5DEC23C3"/>
    <w:rsid w:val="5E282CCF"/>
    <w:rsid w:val="5E2E29DB"/>
    <w:rsid w:val="5E5E2B95"/>
    <w:rsid w:val="5EB822A5"/>
    <w:rsid w:val="5EF157B7"/>
    <w:rsid w:val="5F2142EE"/>
    <w:rsid w:val="5F6D12E1"/>
    <w:rsid w:val="5FA840C8"/>
    <w:rsid w:val="5FE61094"/>
    <w:rsid w:val="601479AF"/>
    <w:rsid w:val="606F1089"/>
    <w:rsid w:val="60714E01"/>
    <w:rsid w:val="610B0DB2"/>
    <w:rsid w:val="61226487"/>
    <w:rsid w:val="614C4F26"/>
    <w:rsid w:val="61D4389A"/>
    <w:rsid w:val="61DC44FC"/>
    <w:rsid w:val="61FE26C5"/>
    <w:rsid w:val="621719D8"/>
    <w:rsid w:val="621A6DD3"/>
    <w:rsid w:val="62856942"/>
    <w:rsid w:val="62BB2364"/>
    <w:rsid w:val="62E93375"/>
    <w:rsid w:val="62FB26E0"/>
    <w:rsid w:val="631A352E"/>
    <w:rsid w:val="63512CC8"/>
    <w:rsid w:val="63C45248"/>
    <w:rsid w:val="648C220A"/>
    <w:rsid w:val="64970BAF"/>
    <w:rsid w:val="64A84B6A"/>
    <w:rsid w:val="64AB4917"/>
    <w:rsid w:val="64C5571C"/>
    <w:rsid w:val="64E5191A"/>
    <w:rsid w:val="65136487"/>
    <w:rsid w:val="654900FB"/>
    <w:rsid w:val="66532FDA"/>
    <w:rsid w:val="66650F64"/>
    <w:rsid w:val="66967370"/>
    <w:rsid w:val="66F422E8"/>
    <w:rsid w:val="670D6F06"/>
    <w:rsid w:val="67206C39"/>
    <w:rsid w:val="67C5258B"/>
    <w:rsid w:val="67CE0D8B"/>
    <w:rsid w:val="683A3D2B"/>
    <w:rsid w:val="68692862"/>
    <w:rsid w:val="68C47A98"/>
    <w:rsid w:val="690B56C7"/>
    <w:rsid w:val="692D1AE1"/>
    <w:rsid w:val="69474951"/>
    <w:rsid w:val="699658D9"/>
    <w:rsid w:val="69C53AC8"/>
    <w:rsid w:val="69D22FB6"/>
    <w:rsid w:val="69E403F2"/>
    <w:rsid w:val="69F10D61"/>
    <w:rsid w:val="6A152CA1"/>
    <w:rsid w:val="6A75729C"/>
    <w:rsid w:val="6A7774B8"/>
    <w:rsid w:val="6AC81AC2"/>
    <w:rsid w:val="6ACB7804"/>
    <w:rsid w:val="6AF1726A"/>
    <w:rsid w:val="6B106FC5"/>
    <w:rsid w:val="6BE40B7D"/>
    <w:rsid w:val="6C094140"/>
    <w:rsid w:val="6C5E0930"/>
    <w:rsid w:val="6CC22541"/>
    <w:rsid w:val="6D064B23"/>
    <w:rsid w:val="6D176D30"/>
    <w:rsid w:val="6D231231"/>
    <w:rsid w:val="6D2F407A"/>
    <w:rsid w:val="6D4A0EB4"/>
    <w:rsid w:val="6D6B4986"/>
    <w:rsid w:val="6D875C64"/>
    <w:rsid w:val="6DDB5FB0"/>
    <w:rsid w:val="6EF07839"/>
    <w:rsid w:val="6F2E3EBD"/>
    <w:rsid w:val="6F571666"/>
    <w:rsid w:val="6F6F7D2C"/>
    <w:rsid w:val="6F751922"/>
    <w:rsid w:val="6F7C731F"/>
    <w:rsid w:val="6FD827A7"/>
    <w:rsid w:val="703379DD"/>
    <w:rsid w:val="70441BEA"/>
    <w:rsid w:val="70B52AE8"/>
    <w:rsid w:val="70C1323B"/>
    <w:rsid w:val="710E3FA6"/>
    <w:rsid w:val="713734FD"/>
    <w:rsid w:val="713A4D9B"/>
    <w:rsid w:val="71744751"/>
    <w:rsid w:val="71C11019"/>
    <w:rsid w:val="71E74F23"/>
    <w:rsid w:val="720930EC"/>
    <w:rsid w:val="724C2FD8"/>
    <w:rsid w:val="7295497F"/>
    <w:rsid w:val="72D03C09"/>
    <w:rsid w:val="734C0DB6"/>
    <w:rsid w:val="73D6524F"/>
    <w:rsid w:val="73DC038C"/>
    <w:rsid w:val="74732A9E"/>
    <w:rsid w:val="7487397A"/>
    <w:rsid w:val="74BA1849"/>
    <w:rsid w:val="74C7103C"/>
    <w:rsid w:val="74D06143"/>
    <w:rsid w:val="74E90FB2"/>
    <w:rsid w:val="7507768A"/>
    <w:rsid w:val="75410DEE"/>
    <w:rsid w:val="757A1C0A"/>
    <w:rsid w:val="75AB270C"/>
    <w:rsid w:val="76045978"/>
    <w:rsid w:val="76120095"/>
    <w:rsid w:val="764F753B"/>
    <w:rsid w:val="765B7C8E"/>
    <w:rsid w:val="76AC04E9"/>
    <w:rsid w:val="77112A42"/>
    <w:rsid w:val="77CE4490"/>
    <w:rsid w:val="77FE6B23"/>
    <w:rsid w:val="781520BE"/>
    <w:rsid w:val="784B5AE0"/>
    <w:rsid w:val="787D213D"/>
    <w:rsid w:val="78B721D6"/>
    <w:rsid w:val="78CD42EE"/>
    <w:rsid w:val="78E24696"/>
    <w:rsid w:val="78EE303B"/>
    <w:rsid w:val="78F63C9E"/>
    <w:rsid w:val="79527AE5"/>
    <w:rsid w:val="799040F2"/>
    <w:rsid w:val="79AC25AE"/>
    <w:rsid w:val="79E93803"/>
    <w:rsid w:val="7A102B3D"/>
    <w:rsid w:val="7A761A22"/>
    <w:rsid w:val="7A884DCA"/>
    <w:rsid w:val="7AAA2F92"/>
    <w:rsid w:val="7AD16771"/>
    <w:rsid w:val="7B256ABC"/>
    <w:rsid w:val="7B2E5971"/>
    <w:rsid w:val="7B3D2ABD"/>
    <w:rsid w:val="7BAB5214"/>
    <w:rsid w:val="7C18217D"/>
    <w:rsid w:val="7C7970C0"/>
    <w:rsid w:val="7CCA16C9"/>
    <w:rsid w:val="7CD6006E"/>
    <w:rsid w:val="7CDE33C7"/>
    <w:rsid w:val="7D580A83"/>
    <w:rsid w:val="7DFF1847"/>
    <w:rsid w:val="7E282B4B"/>
    <w:rsid w:val="7E786F03"/>
    <w:rsid w:val="7F800765"/>
    <w:rsid w:val="7F9D1317"/>
    <w:rsid w:val="7FC8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3">
    <w:name w:val="Body Text"/>
    <w:basedOn w:val="1"/>
    <w:next w:val="4"/>
    <w:qFormat/>
    <w:uiPriority w:val="99"/>
    <w:rPr>
      <w:kern w:val="0"/>
      <w:sz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540"/>
    </w:pPr>
    <w:rPr>
      <w:rFonts w:eastAsia="仿宋_GB2312"/>
      <w:sz w:val="28"/>
    </w:rPr>
  </w:style>
  <w:style w:type="paragraph" w:styleId="10">
    <w:name w:val="index 4"/>
    <w:basedOn w:val="1"/>
    <w:next w:val="1"/>
    <w:qFormat/>
    <w:uiPriority w:val="99"/>
    <w:pPr>
      <w:ind w:left="600" w:leftChars="600"/>
    </w:pPr>
    <w:rPr>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style4"/>
    <w:basedOn w:val="1"/>
    <w:next w:val="21"/>
    <w:qFormat/>
    <w:uiPriority w:val="0"/>
    <w:pPr>
      <w:widowControl/>
      <w:spacing w:before="280" w:after="280"/>
    </w:pPr>
    <w:rPr>
      <w:rFonts w:ascii="宋体" w:eastAsia="宋体"/>
      <w:sz w:val="18"/>
    </w:rPr>
  </w:style>
  <w:style w:type="paragraph" w:customStyle="1" w:styleId="21">
    <w:name w:val="2"/>
    <w:next w:val="1"/>
    <w:qFormat/>
    <w:uiPriority w:val="0"/>
    <w:pPr>
      <w:widowControl w:val="0"/>
      <w:jc w:val="both"/>
    </w:pPr>
    <w:rPr>
      <w:rFonts w:ascii="Calibri" w:hAnsi="Calibri" w:eastAsia="宋体" w:cs="Times New Roman"/>
      <w:sz w:val="21"/>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NormalCharacter"/>
    <w:qFormat/>
    <w:uiPriority w:val="0"/>
  </w:style>
  <w:style w:type="paragraph" w:customStyle="1" w:styleId="24">
    <w:name w:val="表格"/>
    <w:basedOn w:val="1"/>
    <w:qFormat/>
    <w:uiPriority w:val="0"/>
    <w:pPr>
      <w:widowControl/>
      <w:ind w:firstLine="0" w:firstLineChars="0"/>
      <w:contextualSpacing/>
      <w:jc w:val="left"/>
    </w:pPr>
    <w:rPr>
      <w:rFonts w:cs="宋体"/>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4222</Words>
  <Characters>4294</Characters>
  <Lines>0</Lines>
  <Paragraphs>0</Paragraphs>
  <TotalTime>0</TotalTime>
  <ScaleCrop>false</ScaleCrop>
  <LinksUpToDate>false</LinksUpToDate>
  <CharactersWithSpaces>4329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2026-03-04T01:12:00Z</dcterms:created>
  <dc:creator>69489</dc:creator>
  <cp:lastModifiedBy>同方-胡旷</cp:lastModifiedBy>
  <dcterms:modified xsi:type="dcterms:W3CDTF">2026-04-20T02:13:40Z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eyJoZGlkIjoiMzUzMGRkZGY2MDI2NmEyNjg5OTcyMjMzMmE5Y2UwZTkiLCJ1c2VySWQiOiI0MTYzNTM2OTIifQ==</vt:lpwstr>
  </property>
  <property fmtid="{D5CDD505-2E9C-101B-9397-08002B2CF9AE}" pid="4" name="ICV">
    <vt:lpwstr>C8A56CAF5DBF4B119A1DB216F91B230C_13</vt:lpwstr>
  </property>
</Properties>
</file>