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772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 xml:space="preserve">拟购 </w:t>
      </w:r>
      <w:r>
        <w:rPr>
          <w:rFonts w:ascii="等线 Light" w:hAnsi="等线 Light" w:eastAsia="等线 Light" w:cs="等线 Light"/>
          <w:b/>
          <w:bCs/>
          <w:color w:val="000000"/>
          <w:sz w:val="32"/>
          <w:szCs w:val="32"/>
          <w:u w:val="single"/>
        </w:rPr>
        <w:t>QG</w:t>
      </w:r>
      <w:bookmarkStart w:id="0" w:name="_GoBack"/>
      <w:bookmarkEnd w:id="0"/>
      <w:r>
        <w:rPr>
          <w:rFonts w:ascii="等线 Light" w:hAnsi="等线 Light" w:eastAsia="等线 Light" w:cs="等线 Light"/>
          <w:b/>
          <w:bCs/>
          <w:color w:val="000000"/>
          <w:sz w:val="32"/>
          <w:szCs w:val="32"/>
          <w:u w:val="single"/>
        </w:rPr>
        <w:t>视频气管插管镜</w:t>
      </w:r>
      <w:r>
        <w:rPr>
          <w:rFonts w:hint="eastAsia" w:ascii="等线 Light" w:hAnsi="等线 Light" w:eastAsia="等线 Light" w:cs="等线 Light"/>
          <w:b/>
          <w:bCs/>
          <w:color w:val="000000"/>
          <w:sz w:val="32"/>
          <w:szCs w:val="32"/>
          <w:u w:val="single"/>
          <w:lang w:val="en-US" w:eastAsia="zh-CN"/>
        </w:rPr>
        <w:t>器</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参数论证征集意见表</w:t>
      </w:r>
    </w:p>
    <w:p w14:paraId="2F3022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22BDDE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610CC0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46CBD2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1B83A6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056F9A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5C599E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0F1992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76FAE4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3C7463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06F468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0A62BF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3"/>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1"/>
        <w:gridCol w:w="1579"/>
        <w:gridCol w:w="3067"/>
        <w:gridCol w:w="718"/>
        <w:gridCol w:w="589"/>
        <w:gridCol w:w="734"/>
        <w:gridCol w:w="1380"/>
      </w:tblGrid>
      <w:tr w14:paraId="2664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0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6399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81A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98E5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F16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45DB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8D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9D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AB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3D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6E130">
            <w:pPr>
              <w:rPr>
                <w:rFonts w:hint="eastAsia" w:ascii="宋体"/>
                <w:sz w:val="24"/>
                <w:szCs w:val="24"/>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48B0B">
            <w:pPr>
              <w:rPr>
                <w:rFonts w:hint="eastAsia" w:ascii="宋体"/>
                <w:sz w:val="24"/>
                <w:szCs w:val="24"/>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BAF4BC">
            <w:pPr>
              <w:rPr>
                <w:rFonts w:hint="eastAsia" w:ascii="宋体"/>
                <w:sz w:val="24"/>
                <w:szCs w:val="24"/>
              </w:rPr>
            </w:pPr>
          </w:p>
        </w:tc>
      </w:tr>
      <w:tr w14:paraId="3F72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DB8B">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1</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98556">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成像原理</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DF248">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电子成像技术，工作软管不含导像、导光纤维</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D7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67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0A4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60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C7F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8876">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2</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13D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软镜插入管外径</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6EB9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≤2.8mm，无器械通道</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B1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4D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D0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F0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6A8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B336">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3</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595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软镜工作软管有效长度</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B6D4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680mm</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13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53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20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827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E7C4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968F">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4</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D69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视场角</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DFB8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≥120°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90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939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7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75F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58E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A93F">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5</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439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景深</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7331D">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3-200mm</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8B4C3">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2DF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C7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7ED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6C78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67"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379A">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6</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A2B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插入管软管前端弯曲角度</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6481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向上弯曲≥180°，向下弯曲≥130°，双向弯曲≥310°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324F8">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A5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4CD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661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08B2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EB2E">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7</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B68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操作手柄功能按键</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853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≥3 个功能按键，可控制图像缩放、拍照录像、冻结功能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B9B8">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41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EB4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41D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2DD3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1F41B">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8</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D21DB">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操作部防水等级</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57083">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IPX7，配备防水盖可进行全浸泡消毒</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1AA6">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BC7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CCE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1C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E8E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A498F">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9</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FBEA1">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消毒灭菌要求</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E1BCC">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无需 ETO 帽、NT 阀，无需更换配件</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7139">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9F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91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AE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5BB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6314">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EEE4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手持式 LCD 显示屏</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0727C">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≥4.0 英寸，分辨率≥720×720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217C">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C0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71D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E2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212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2C1D">
            <w:pPr>
              <w:keepNext w:val="0"/>
              <w:keepLines w:val="0"/>
              <w:widowControl/>
              <w:suppressLineNumbers w:val="0"/>
              <w:spacing w:before="0" w:beforeAutospacing="0" w:after="0" w:afterAutospacing="0" w:line="360" w:lineRule="atLeast"/>
              <w:ind w:left="0" w:leftChars="0" w:right="0" w:rightChars="0"/>
              <w:jc w:val="left"/>
            </w:pPr>
            <w:r>
              <w:rPr>
                <w:rFonts w:ascii="宋体" w:hAnsi="宋体" w:eastAsia="宋体" w:cs="宋体"/>
                <w:color w:val="000000"/>
                <w:kern w:val="0"/>
                <w:sz w:val="24"/>
                <w:szCs w:val="24"/>
                <w:lang w:val="en-US" w:eastAsia="zh-CN" w:bidi="ar"/>
              </w:rPr>
              <w:t>11</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90A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显示屏高宽比</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9A34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1：1</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05CF2">
            <w:pPr>
              <w:jc w:val="left"/>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C9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D06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839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F56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D7B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12</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AFC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显示屏操作方式</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E83C6">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电容式触摸屏</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DC00E">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AD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DB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DFE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8F5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290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13</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2A7D0">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最大视野</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8972C">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可达 170°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722B">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74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1A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CB7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400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E4CCA">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14</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A660">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开机时间</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1AECA">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≤3 秒，一键开机即能使用</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E2E7">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DD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FAB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B42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4B6B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6F8E">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15</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A2BBF">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操作部按键控制功能</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417A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可实现图像缩放、图像冻结、拍照录像功能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3F19">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7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E8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8B0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680A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76418">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16</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9C322">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存储功能</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EDFD">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可存储图片及视频，内存≥64G，可存放约 80 万张拍摄图片</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44AE7">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BC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5F1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251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09A39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658BB">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17</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74F00">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输出图像形状</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9080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至少 2 种可选，满足不同操作者习惯</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C6D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5F6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E35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412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88C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9F2B1">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18</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50EB">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色彩参数调节</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7534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对比度、饱和度、亮度 0~15 级可调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2CEED">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C17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99E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657F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E07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A601">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19</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AEB4">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显示屏结构</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402C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翻盖式结构，可角度调节≥120°</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D218">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B33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B3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7A4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0DA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21936">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3A16D">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供电方式</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91A5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内置可充电电池，方便科室自行更换</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916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EEF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FAB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AD8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F8B55">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21</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E05D4">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电池续航时间</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36ED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≥4h</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A3A0">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F28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78D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CA3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2F10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74544">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color w:val="000000"/>
                <w:sz w:val="20"/>
                <w:szCs w:val="20"/>
              </w:rPr>
            </w:pPr>
            <w:r>
              <w:rPr>
                <w:rFonts w:ascii="宋体" w:hAnsi="宋体" w:eastAsia="宋体" w:cs="宋体"/>
                <w:color w:val="000000"/>
                <w:kern w:val="0"/>
                <w:sz w:val="24"/>
                <w:szCs w:val="24"/>
                <w:lang w:val="en-US" w:eastAsia="zh-CN" w:bidi="ar"/>
              </w:rPr>
              <w:t>22</w:t>
            </w:r>
          </w:p>
        </w:tc>
        <w:tc>
          <w:tcPr>
            <w:tcW w:w="1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93B35">
            <w:pPr>
              <w:keepNext w:val="0"/>
              <w:keepLines w:val="0"/>
              <w:widowControl/>
              <w:suppressLineNumbers w:val="0"/>
              <w:spacing w:before="0" w:beforeAutospacing="0" w:after="0" w:afterAutospacing="0" w:line="360" w:lineRule="atLeast"/>
              <w:ind w:left="0" w:leftChars="0" w:right="0" w:rightChars="0"/>
              <w:jc w:val="left"/>
              <w:rPr>
                <w:rFonts w:ascii="宋体" w:hAnsi="宋体" w:eastAsia="宋体" w:cs="宋体"/>
                <w:kern w:val="0"/>
                <w:sz w:val="24"/>
                <w:szCs w:val="24"/>
                <w:lang w:val="en-US" w:eastAsia="zh-CN" w:bidi="ar"/>
              </w:rPr>
            </w:pPr>
            <w:r>
              <w:rPr>
                <w:rFonts w:ascii="宋体" w:hAnsi="宋体" w:eastAsia="宋体" w:cs="宋体"/>
                <w:color w:val="000000"/>
                <w:kern w:val="0"/>
                <w:sz w:val="24"/>
                <w:szCs w:val="24"/>
                <w:lang w:val="en-US" w:eastAsia="zh-CN" w:bidi="ar"/>
              </w:rPr>
              <w:t>备用电池</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1402">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b w:val="0"/>
                <w:bCs/>
                <w:color w:val="auto"/>
                <w:sz w:val="21"/>
                <w:szCs w:val="21"/>
                <w:lang w:val="en-US" w:eastAsia="zh-CN"/>
              </w:rPr>
            </w:pPr>
            <w:r>
              <w:rPr>
                <w:rFonts w:ascii="宋体" w:hAnsi="宋体" w:eastAsia="宋体" w:cs="宋体"/>
                <w:color w:val="000000"/>
                <w:kern w:val="0"/>
                <w:sz w:val="24"/>
                <w:szCs w:val="24"/>
                <w:lang w:val="en-US" w:eastAsia="zh-CN" w:bidi="ar"/>
              </w:rPr>
              <w:t>配备，为市场通用 18650 可充电电池</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9C701">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71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9BD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8C7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16AE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43B5">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23</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F03E">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资质要求</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67B7">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符合国家医用设备相关标准，提供医疗器械注册证及检验报告复印件（加盖厂家公章）</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E909">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7A5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07C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3DA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8A42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C684">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24</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0F36">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易损部件</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2A8F">
            <w:pPr>
              <w:keepNext w:val="0"/>
              <w:keepLines w:val="0"/>
              <w:widowControl/>
              <w:suppressLineNumbers w:val="0"/>
              <w:spacing w:before="0" w:beforeAutospacing="0" w:after="0" w:afterAutospacing="0" w:line="360" w:lineRule="atLeast"/>
              <w:ind w:left="0" w:leftChars="0" w:right="0" w:rightChars="0"/>
              <w:jc w:val="left"/>
              <w:rPr>
                <w:rFonts w:asciiTheme="minorHAnsi" w:hAnsiTheme="minorHAnsi" w:eastAsiaTheme="minorEastAsia" w:cstheme="minorBidi"/>
                <w:color w:val="000000"/>
                <w:kern w:val="2"/>
                <w:sz w:val="24"/>
                <w:szCs w:val="24"/>
                <w:lang w:val="en-US" w:eastAsia="zh-CN" w:bidi="ar-SA"/>
              </w:rPr>
            </w:pPr>
            <w:r>
              <w:rPr>
                <w:rFonts w:ascii="宋体" w:hAnsi="宋体" w:eastAsia="宋体" w:cs="宋体"/>
                <w:color w:val="000000"/>
                <w:kern w:val="0"/>
                <w:sz w:val="24"/>
                <w:szCs w:val="24"/>
                <w:lang w:val="en-US" w:eastAsia="zh-CN" w:bidi="ar"/>
              </w:rPr>
              <w:t>操作部、显示屏、电池等可单独拆卸更换，便于后期维护</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A46B3">
            <w:pPr>
              <w:jc w:val="left"/>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C7CC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E83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5B8E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bl>
    <w:p w14:paraId="342D5C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p w14:paraId="7003D3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6"/>
        <w:gridCol w:w="2652"/>
        <w:gridCol w:w="1004"/>
        <w:gridCol w:w="725"/>
        <w:gridCol w:w="1802"/>
        <w:gridCol w:w="1703"/>
      </w:tblGrid>
      <w:tr w14:paraId="7E94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42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AB99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AC84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3648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97B4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07E7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46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66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B6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AB9C2">
            <w:pPr>
              <w:rPr>
                <w:rFonts w:hint="eastAsia" w:ascii="宋体"/>
                <w:sz w:val="24"/>
                <w:szCs w:val="24"/>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DE0A8">
            <w:pPr>
              <w:rPr>
                <w:rFonts w:hint="eastAsia" w:ascii="宋体"/>
                <w:sz w:val="24"/>
                <w:szCs w:val="24"/>
              </w:rPr>
            </w:pP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4D998">
            <w:pPr>
              <w:rPr>
                <w:rFonts w:hint="eastAsia" w:ascii="宋体"/>
                <w:sz w:val="24"/>
                <w:szCs w:val="24"/>
              </w:rPr>
            </w:pPr>
          </w:p>
        </w:tc>
      </w:tr>
      <w:tr w14:paraId="0E10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71B7">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7BE5">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视频气管插管镜操作部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F876">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1条</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6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A1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12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r>
      <w:tr w14:paraId="7ABC9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767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2</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2CA0">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图像处理器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（含内窥镜摄像系统主控软件）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221">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1台</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2F2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C01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175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49D79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7D6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3</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2995">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便携测漏器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BEF0">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w:t>
            </w:r>
            <w:r>
              <w:rPr>
                <w:rFonts w:hint="eastAsia" w:ascii="宋体" w:hAnsi="宋体" w:eastAsia="宋体" w:cs="宋体"/>
                <w:kern w:val="0"/>
                <w:sz w:val="20"/>
                <w:szCs w:val="20"/>
              </w:rPr>
              <w:t>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4DD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AB4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E60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175E9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831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4</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926">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锂电池</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C5F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2个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024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EDB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BE1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4590D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BA6C">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5</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9C7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锂电池充电器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EC28">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412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7E1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FC1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6B7DB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6533">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6</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8771">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64G TF卡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DB46">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77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540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1F2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4720C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10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7</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2CD9">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SD读卡器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9C0E">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10D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431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D5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3C2BA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1010">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8</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1ED9">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防水盖</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91AA">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1C1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497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871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4E5DD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44DA">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9</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1F30">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导管固定器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7C24">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2个</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65D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146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11B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r w14:paraId="74A38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0" w:type="auto"/>
            <w:shd w:val="clear" w:color="auto" w:fill="auto"/>
            <w:vAlign w:val="center"/>
          </w:tcPr>
          <w:p w14:paraId="3EFAD66F">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10</w:t>
            </w:r>
          </w:p>
        </w:tc>
        <w:tc>
          <w:tcPr>
            <w:tcW w:w="0" w:type="auto"/>
            <w:shd w:val="clear" w:color="auto" w:fill="auto"/>
            <w:vAlign w:val="center"/>
          </w:tcPr>
          <w:p w14:paraId="125B20FD">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电池筒</w:t>
            </w:r>
          </w:p>
        </w:tc>
        <w:tc>
          <w:tcPr>
            <w:tcW w:w="0" w:type="auto"/>
            <w:shd w:val="clear" w:color="auto" w:fill="auto"/>
            <w:vAlign w:val="center"/>
          </w:tcPr>
          <w:p w14:paraId="64B0568C">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1个</w:t>
            </w:r>
          </w:p>
        </w:tc>
        <w:tc>
          <w:tcPr>
            <w:tcW w:w="0" w:type="auto"/>
            <w:shd w:val="clear" w:color="auto" w:fill="FFFFFF"/>
          </w:tcPr>
          <w:p w14:paraId="76EEB9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0" w:type="auto"/>
            <w:shd w:val="clear" w:color="auto" w:fill="FFFFFF"/>
          </w:tcPr>
          <w:p w14:paraId="5D2502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c>
          <w:tcPr>
            <w:tcW w:w="0" w:type="auto"/>
            <w:shd w:val="clear" w:color="auto" w:fill="FFFFFF"/>
          </w:tcPr>
          <w:p w14:paraId="07B44F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等线" w:hAnsi="等线" w:eastAsia="等线" w:cs="等线"/>
                <w:color w:val="000000"/>
                <w:sz w:val="24"/>
                <w:szCs w:val="24"/>
              </w:rPr>
            </w:pPr>
          </w:p>
        </w:tc>
      </w:tr>
    </w:tbl>
    <w:p w14:paraId="622060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p w14:paraId="3CC6D4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760682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7"/>
        <w:gridCol w:w="895"/>
        <w:gridCol w:w="1366"/>
        <w:gridCol w:w="1285"/>
        <w:gridCol w:w="1014"/>
        <w:gridCol w:w="1963"/>
      </w:tblGrid>
      <w:tr w14:paraId="37A1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FB0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E3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DF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A42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E6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3E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DFC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7E1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24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927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C9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AB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52E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EC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F0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1AB84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4"/>
        <w:gridCol w:w="894"/>
        <w:gridCol w:w="1364"/>
        <w:gridCol w:w="1284"/>
        <w:gridCol w:w="1012"/>
        <w:gridCol w:w="1972"/>
      </w:tblGrid>
      <w:tr w14:paraId="31C0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F3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6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F8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BD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3D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003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8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7B135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F7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9D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D7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DF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CB4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7D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B4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C5CCB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5"/>
        <w:gridCol w:w="1733"/>
        <w:gridCol w:w="1852"/>
        <w:gridCol w:w="1318"/>
        <w:gridCol w:w="991"/>
        <w:gridCol w:w="1993"/>
      </w:tblGrid>
      <w:tr w14:paraId="58E0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35B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22E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EF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908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364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0B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D22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07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CA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FE2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84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16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89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0FCD50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4"/>
        <w:gridCol w:w="1730"/>
        <w:gridCol w:w="1848"/>
        <w:gridCol w:w="1338"/>
        <w:gridCol w:w="969"/>
        <w:gridCol w:w="2003"/>
      </w:tblGrid>
      <w:tr w14:paraId="2A5A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AF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953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DAE0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5F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AD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B27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49D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DE3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B4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E2A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3BA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539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C3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7B8365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CBDFF15"/>
    <w:p w14:paraId="0EC44F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91587"/>
    <w:rsid w:val="0FB91587"/>
    <w:rsid w:val="122135E3"/>
    <w:rsid w:val="16275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1336</Words>
  <Characters>1436</Characters>
  <Lines>0</Lines>
  <Paragraphs>0</Paragraphs>
  <TotalTime>0</TotalTime>
  <ScaleCrop>false</ScaleCrop>
  <LinksUpToDate>false</LinksUpToDate>
  <CharactersWithSpaces>1582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2026-04-08T08:39:00Z</dcterms:created>
  <dc:creator>光阳</dc:creator>
  <cp:lastModifiedBy>光阳</cp:lastModifiedBy>
  <dcterms:modified xsi:type="dcterms:W3CDTF">2026-05-07T07:12:16Z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BFB1FAEB61134B829496457579F503DF_13</vt:lpwstr>
  </property>
  <property fmtid="{D5CDD505-2E9C-101B-9397-08002B2CF9AE}" pid="4" name="KSOTemplateDocerSaveRecord">
    <vt:lpwstr>eyJoZGlkIjoiODI3MzIyYmQ2MDMwZTEzNzM4NGRlYjA3YjFhZjMyNzAiLCJ1c2VySWQiOiIyODA2MzM4NTgifQ==</vt:lpwstr>
  </property>
</Properties>
</file>