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31D82">
      <w:pPr>
        <w:spacing w:line="760" w:lineRule="exact"/>
        <w:jc w:val="center"/>
        <w:rPr>
          <w:rFonts w:hint="eastAsia" w:ascii="宋体" w:hAnsi="宋体" w:cs="宋体"/>
          <w:b/>
          <w:bCs/>
          <w:color w:val="auto"/>
          <w:kern w:val="36"/>
          <w:sz w:val="40"/>
          <w:szCs w:val="40"/>
          <w:highlight w:val="none"/>
          <w:lang w:eastAsia="zh-CN"/>
        </w:rPr>
      </w:pPr>
      <w:r>
        <w:rPr>
          <w:rFonts w:hint="eastAsia" w:ascii="宋体" w:hAnsi="宋体" w:cs="宋体"/>
          <w:b/>
          <w:bCs/>
          <w:color w:val="auto"/>
          <w:kern w:val="36"/>
          <w:sz w:val="40"/>
          <w:szCs w:val="40"/>
          <w:highlight w:val="none"/>
          <w:lang w:eastAsia="zh-CN"/>
        </w:rPr>
        <w:t>六安市叶集区人民医院(六安市第六人民医院)全国严重创伤救治信息交互联动系统服务采购项目</w:t>
      </w:r>
    </w:p>
    <w:p w14:paraId="414F3DE5">
      <w:pPr>
        <w:spacing w:line="760" w:lineRule="exact"/>
        <w:jc w:val="center"/>
        <w:rPr>
          <w:rFonts w:hint="eastAsia" w:ascii="宋体" w:hAnsi="宋体" w:cs="宋体"/>
          <w:b/>
          <w:bCs/>
          <w:color w:val="auto"/>
          <w:kern w:val="36"/>
          <w:sz w:val="40"/>
          <w:szCs w:val="40"/>
          <w:highlight w:val="none"/>
          <w:lang w:eastAsia="zh-CN"/>
        </w:rPr>
      </w:pPr>
    </w:p>
    <w:p w14:paraId="208143C6">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服</w:t>
      </w:r>
    </w:p>
    <w:p w14:paraId="552AC18F">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务</w:t>
      </w:r>
    </w:p>
    <w:p w14:paraId="3B722780">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类</w:t>
      </w:r>
    </w:p>
    <w:p w14:paraId="17E1DFCA">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单</w:t>
      </w:r>
    </w:p>
    <w:p w14:paraId="070D9C6B">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一</w:t>
      </w:r>
    </w:p>
    <w:p w14:paraId="62BC659D">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来</w:t>
      </w:r>
    </w:p>
    <w:p w14:paraId="6FD59740">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源</w:t>
      </w:r>
    </w:p>
    <w:p w14:paraId="2D2693C1">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采</w:t>
      </w:r>
    </w:p>
    <w:p w14:paraId="1222BE6F">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购</w:t>
      </w:r>
    </w:p>
    <w:p w14:paraId="1D375F2B">
      <w:pPr>
        <w:spacing w:line="760" w:lineRule="exact"/>
        <w:jc w:val="center"/>
        <w:rPr>
          <w:rFonts w:ascii="宋体" w:hAnsi="宋体"/>
          <w:b/>
          <w:color w:val="auto"/>
          <w:sz w:val="44"/>
          <w:szCs w:val="44"/>
          <w:highlight w:val="none"/>
        </w:rPr>
      </w:pPr>
      <w:r>
        <w:rPr>
          <w:rFonts w:hint="eastAsia" w:ascii="宋体" w:hAnsi="宋体"/>
          <w:b/>
          <w:color w:val="auto"/>
          <w:sz w:val="44"/>
          <w:szCs w:val="44"/>
          <w:highlight w:val="none"/>
        </w:rPr>
        <w:t>文</w:t>
      </w:r>
    </w:p>
    <w:p w14:paraId="5655EC77">
      <w:pPr>
        <w:spacing w:line="760" w:lineRule="exact"/>
        <w:jc w:val="center"/>
        <w:rPr>
          <w:rFonts w:ascii="宋体" w:hAnsi="宋体"/>
          <w:b/>
          <w:color w:val="auto"/>
          <w:sz w:val="56"/>
          <w:szCs w:val="56"/>
          <w:highlight w:val="none"/>
        </w:rPr>
      </w:pPr>
      <w:r>
        <w:rPr>
          <w:rFonts w:hint="eastAsia" w:ascii="宋体" w:hAnsi="宋体"/>
          <w:b/>
          <w:color w:val="auto"/>
          <w:sz w:val="44"/>
          <w:szCs w:val="44"/>
          <w:highlight w:val="none"/>
        </w:rPr>
        <w:t>件</w:t>
      </w:r>
    </w:p>
    <w:p w14:paraId="1642ACF9">
      <w:pPr>
        <w:rPr>
          <w:rFonts w:ascii="宋体" w:hAnsi="宋体"/>
          <w:b/>
          <w:color w:val="auto"/>
          <w:sz w:val="32"/>
          <w:szCs w:val="32"/>
          <w:highlight w:val="none"/>
        </w:rPr>
      </w:pPr>
    </w:p>
    <w:p w14:paraId="43B92644">
      <w:pPr>
        <w:ind w:firstLine="1680" w:firstLineChars="600"/>
        <w:jc w:val="center"/>
        <w:rPr>
          <w:rFonts w:ascii="黑体" w:hAnsi="宋体" w:eastAsia="黑体"/>
          <w:color w:val="auto"/>
          <w:sz w:val="28"/>
          <w:szCs w:val="28"/>
          <w:highlight w:val="none"/>
        </w:rPr>
      </w:pPr>
    </w:p>
    <w:p w14:paraId="0834B874">
      <w:pPr>
        <w:spacing w:line="360" w:lineRule="auto"/>
        <w:ind w:firstLine="840" w:firstLineChars="300"/>
        <w:rPr>
          <w:rFonts w:hint="eastAsia" w:ascii="黑体" w:hAnsi="宋体" w:eastAsia="黑体"/>
          <w:color w:val="auto"/>
          <w:sz w:val="28"/>
          <w:szCs w:val="28"/>
          <w:highlight w:val="none"/>
        </w:rPr>
      </w:pPr>
    </w:p>
    <w:p w14:paraId="54F2087D">
      <w:pPr>
        <w:spacing w:line="360" w:lineRule="auto"/>
        <w:ind w:firstLine="840" w:firstLineChars="300"/>
        <w:rPr>
          <w:rFonts w:ascii="黑体" w:hAnsi="宋体" w:eastAsia="黑体"/>
          <w:color w:val="auto"/>
          <w:sz w:val="28"/>
          <w:szCs w:val="28"/>
          <w:highlight w:val="none"/>
        </w:rPr>
      </w:pPr>
      <w:r>
        <w:rPr>
          <w:rFonts w:hint="eastAsia" w:ascii="黑体" w:hAnsi="宋体" w:eastAsia="黑体"/>
          <w:color w:val="auto"/>
          <w:sz w:val="28"/>
          <w:szCs w:val="28"/>
          <w:highlight w:val="none"/>
        </w:rPr>
        <w:t>项目单位：</w:t>
      </w:r>
      <w:r>
        <w:rPr>
          <w:rFonts w:hint="eastAsia" w:ascii="黑体" w:hAnsi="宋体" w:eastAsia="黑体"/>
          <w:color w:val="auto"/>
          <w:sz w:val="28"/>
          <w:szCs w:val="28"/>
          <w:highlight w:val="none"/>
          <w:lang w:val="en-US" w:eastAsia="zh-CN"/>
        </w:rPr>
        <w:t>六安市叶集区人民医院（六安市第六人民医院）</w:t>
      </w:r>
      <w:r>
        <w:rPr>
          <w:rFonts w:hint="eastAsia" w:ascii="黑体" w:hAnsi="宋体" w:eastAsia="黑体"/>
          <w:color w:val="auto"/>
          <w:sz w:val="28"/>
          <w:szCs w:val="28"/>
          <w:highlight w:val="none"/>
        </w:rPr>
        <w:t xml:space="preserve">                 </w:t>
      </w:r>
    </w:p>
    <w:p w14:paraId="5BFC4A8C">
      <w:pPr>
        <w:spacing w:line="360" w:lineRule="auto"/>
        <w:ind w:firstLine="2240" w:firstLineChars="800"/>
        <w:rPr>
          <w:rFonts w:ascii="黑体" w:hAnsi="宋体" w:eastAsia="黑体"/>
          <w:color w:val="auto"/>
          <w:sz w:val="28"/>
          <w:szCs w:val="28"/>
          <w:highlight w:val="none"/>
        </w:rPr>
      </w:pPr>
      <w:r>
        <w:rPr>
          <w:rFonts w:hint="eastAsia" w:ascii="黑体" w:hAnsi="宋体" w:eastAsia="黑体"/>
          <w:color w:val="auto"/>
          <w:sz w:val="28"/>
          <w:szCs w:val="28"/>
          <w:highlight w:val="none"/>
        </w:rPr>
        <w:t>代理机构：安徽同方工程咨询有限公司</w:t>
      </w:r>
      <w:r>
        <w:rPr>
          <w:rFonts w:ascii="黑体" w:hAnsi="宋体" w:eastAsia="黑体"/>
          <w:color w:val="auto"/>
          <w:sz w:val="28"/>
          <w:szCs w:val="28"/>
          <w:highlight w:val="none"/>
        </w:rPr>
        <w:t xml:space="preserve"> </w:t>
      </w:r>
    </w:p>
    <w:p w14:paraId="68B8CC22">
      <w:pPr>
        <w:jc w:val="center"/>
        <w:rPr>
          <w:rFonts w:ascii="黑体" w:hAnsi="宋体" w:eastAsia="黑体"/>
          <w:color w:val="auto"/>
          <w:sz w:val="28"/>
          <w:szCs w:val="28"/>
          <w:highlight w:val="none"/>
        </w:rPr>
      </w:pPr>
      <w:r>
        <w:rPr>
          <w:rFonts w:hint="eastAsia" w:ascii="黑体" w:hAnsi="宋体" w:eastAsia="黑体"/>
          <w:color w:val="auto"/>
          <w:sz w:val="28"/>
          <w:szCs w:val="28"/>
          <w:highlight w:val="none"/>
          <w:lang w:val="en-US" w:eastAsia="zh-CN"/>
        </w:rPr>
        <w:t>2026</w:t>
      </w:r>
      <w:r>
        <w:rPr>
          <w:rFonts w:hint="eastAsia" w:ascii="黑体" w:hAnsi="宋体" w:eastAsia="黑体"/>
          <w:color w:val="auto"/>
          <w:sz w:val="28"/>
          <w:szCs w:val="28"/>
          <w:highlight w:val="none"/>
        </w:rPr>
        <w:t>年</w:t>
      </w:r>
      <w:r>
        <w:rPr>
          <w:rFonts w:hint="eastAsia" w:ascii="黑体" w:hAnsi="宋体" w:eastAsia="黑体"/>
          <w:color w:val="auto"/>
          <w:sz w:val="28"/>
          <w:szCs w:val="28"/>
          <w:highlight w:val="none"/>
          <w:lang w:val="en-US" w:eastAsia="zh-CN"/>
        </w:rPr>
        <w:t>7</w:t>
      </w:r>
      <w:r>
        <w:rPr>
          <w:rFonts w:hint="eastAsia" w:ascii="黑体" w:hAnsi="宋体" w:eastAsia="黑体"/>
          <w:color w:val="auto"/>
          <w:sz w:val="28"/>
          <w:szCs w:val="28"/>
          <w:highlight w:val="none"/>
        </w:rPr>
        <w:t>月</w:t>
      </w:r>
      <w:bookmarkStart w:id="0" w:name="_Toc18671549"/>
    </w:p>
    <w:p w14:paraId="14E40F9D">
      <w:pPr>
        <w:jc w:val="left"/>
        <w:rPr>
          <w:color w:val="auto"/>
          <w:highlight w:val="none"/>
        </w:rPr>
      </w:pPr>
      <w:r>
        <w:rPr>
          <w:rFonts w:hint="eastAsia" w:ascii="黑体" w:hAnsi="宋体" w:eastAsia="黑体"/>
          <w:color w:val="auto"/>
          <w:sz w:val="28"/>
          <w:szCs w:val="28"/>
          <w:highlight w:val="none"/>
        </w:rPr>
        <w:br w:type="page"/>
      </w:r>
    </w:p>
    <w:sdt>
      <w:sdtPr>
        <w:rPr>
          <w:rFonts w:hint="eastAsia" w:ascii="黑体" w:hAnsi="黑体" w:eastAsia="黑体" w:cs="黑体"/>
          <w:b/>
          <w:bCs/>
          <w:color w:val="auto"/>
          <w:sz w:val="40"/>
          <w:szCs w:val="48"/>
          <w:highlight w:val="none"/>
        </w:rPr>
        <w:id w:val="147458712"/>
      </w:sdtPr>
      <w:sdtEndPr>
        <w:rPr>
          <w:rFonts w:hint="eastAsia" w:ascii="宋体" w:hAnsi="宋体" w:eastAsia="宋体" w:cs="宋体"/>
          <w:b/>
          <w:bCs/>
          <w:color w:val="auto"/>
          <w:sz w:val="21"/>
          <w:szCs w:val="32"/>
          <w:highlight w:val="none"/>
        </w:rPr>
      </w:sdtEndPr>
      <w:sdtContent>
        <w:p w14:paraId="3D821A79">
          <w:pPr>
            <w:jc w:val="center"/>
            <w:rPr>
              <w:rFonts w:ascii="黑体" w:hAnsi="黑体" w:eastAsia="黑体" w:cs="黑体"/>
              <w:b/>
              <w:bCs/>
              <w:color w:val="auto"/>
              <w:sz w:val="40"/>
              <w:szCs w:val="48"/>
              <w:highlight w:val="none"/>
            </w:rPr>
          </w:pPr>
        </w:p>
        <w:p w14:paraId="4200B2CB">
          <w:pPr>
            <w:jc w:val="center"/>
            <w:rPr>
              <w:rFonts w:ascii="黑体" w:hAnsi="黑体" w:eastAsia="黑体" w:cs="黑体"/>
              <w:b/>
              <w:bCs/>
              <w:color w:val="auto"/>
              <w:sz w:val="40"/>
              <w:szCs w:val="48"/>
              <w:highlight w:val="none"/>
            </w:rPr>
          </w:pPr>
          <w:r>
            <w:rPr>
              <w:rFonts w:hint="eastAsia" w:ascii="黑体" w:hAnsi="黑体" w:eastAsia="黑体" w:cs="黑体"/>
              <w:b/>
              <w:bCs/>
              <w:color w:val="auto"/>
              <w:sz w:val="40"/>
              <w:szCs w:val="48"/>
              <w:highlight w:val="none"/>
            </w:rPr>
            <w:t>目   录</w:t>
          </w:r>
        </w:p>
        <w:p w14:paraId="26F6F34F">
          <w:pPr>
            <w:jc w:val="center"/>
            <w:rPr>
              <w:rFonts w:ascii="黑体" w:hAnsi="黑体" w:eastAsia="黑体" w:cs="黑体"/>
              <w:b/>
              <w:bCs/>
              <w:color w:val="auto"/>
              <w:sz w:val="36"/>
              <w:szCs w:val="44"/>
              <w:highlight w:val="none"/>
            </w:rPr>
          </w:pPr>
        </w:p>
        <w:p w14:paraId="48468368">
          <w:pPr>
            <w:pStyle w:val="12"/>
            <w:tabs>
              <w:tab w:val="right" w:leader="dot" w:pos="8888"/>
            </w:tabs>
            <w:spacing w:line="480" w:lineRule="exact"/>
            <w:ind w:left="0" w:leftChars="0"/>
            <w:rPr>
              <w:color w:val="auto"/>
              <w:highlight w:val="none"/>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TOC \o "1-3" \h \u </w:instrText>
          </w:r>
          <w:r>
            <w:rPr>
              <w:rFonts w:hint="eastAsia" w:ascii="宋体" w:hAnsi="宋体" w:eastAsia="宋体" w:cs="宋体"/>
              <w:bCs/>
              <w:color w:val="auto"/>
              <w:szCs w:val="24"/>
              <w:highlight w:val="none"/>
            </w:rPr>
            <w:fldChar w:fldCharType="separate"/>
          </w:r>
          <w:r>
            <w:rPr>
              <w:color w:val="auto"/>
              <w:highlight w:val="none"/>
            </w:rPr>
            <w:fldChar w:fldCharType="begin"/>
          </w:r>
          <w:r>
            <w:rPr>
              <w:color w:val="auto"/>
              <w:highlight w:val="none"/>
            </w:rPr>
            <w:instrText xml:space="preserve"> HYPERLINK \l "_Toc18747" </w:instrText>
          </w:r>
          <w:r>
            <w:rPr>
              <w:color w:val="auto"/>
              <w:highlight w:val="none"/>
            </w:rPr>
            <w:fldChar w:fldCharType="separate"/>
          </w:r>
          <w:r>
            <w:rPr>
              <w:rFonts w:hint="eastAsia" w:ascii="宋体" w:hAnsi="宋体" w:eastAsia="宋体" w:cs="宋体"/>
              <w:color w:val="auto"/>
              <w:szCs w:val="28"/>
              <w:highlight w:val="none"/>
            </w:rPr>
            <w:t>单一来源方式采购的公示</w:t>
          </w:r>
          <w:r>
            <w:rPr>
              <w:color w:val="auto"/>
              <w:highlight w:val="none"/>
            </w:rPr>
            <w:tab/>
          </w:r>
          <w:r>
            <w:rPr>
              <w:rFonts w:hint="eastAsia"/>
              <w:color w:val="auto"/>
              <w:highlight w:val="none"/>
              <w:lang w:val="en-US" w:eastAsia="zh-CN"/>
            </w:rPr>
            <w:t>1</w:t>
          </w:r>
          <w:r>
            <w:rPr>
              <w:color w:val="auto"/>
              <w:highlight w:val="none"/>
            </w:rPr>
            <w:fldChar w:fldCharType="end"/>
          </w:r>
        </w:p>
        <w:p w14:paraId="03E85ECA">
          <w:pPr>
            <w:pStyle w:val="12"/>
            <w:tabs>
              <w:tab w:val="right" w:leader="dot" w:pos="8888"/>
            </w:tabs>
            <w:spacing w:line="480" w:lineRule="exact"/>
            <w:ind w:left="0" w:leftChars="0"/>
            <w:rPr>
              <w:color w:val="auto"/>
              <w:highlight w:val="none"/>
            </w:rPr>
          </w:pPr>
          <w:r>
            <w:rPr>
              <w:color w:val="auto"/>
              <w:highlight w:val="none"/>
            </w:rPr>
            <w:fldChar w:fldCharType="begin"/>
          </w:r>
          <w:r>
            <w:rPr>
              <w:color w:val="auto"/>
              <w:highlight w:val="none"/>
            </w:rPr>
            <w:instrText xml:space="preserve"> HYPERLINK \l "_Toc30348" </w:instrText>
          </w:r>
          <w:r>
            <w:rPr>
              <w:color w:val="auto"/>
              <w:highlight w:val="none"/>
            </w:rPr>
            <w:fldChar w:fldCharType="separate"/>
          </w:r>
          <w:r>
            <w:rPr>
              <w:rFonts w:hint="eastAsia" w:ascii="宋体" w:hAnsi="宋体" w:eastAsia="宋体" w:cs="宋体"/>
              <w:color w:val="auto"/>
              <w:szCs w:val="24"/>
              <w:highlight w:val="none"/>
            </w:rPr>
            <w:t>第一章  单一来源采购邀请书</w:t>
          </w:r>
          <w:r>
            <w:rPr>
              <w:color w:val="auto"/>
              <w:highlight w:val="none"/>
            </w:rPr>
            <w:tab/>
          </w:r>
          <w:r>
            <w:rPr>
              <w:color w:val="auto"/>
              <w:highlight w:val="none"/>
            </w:rPr>
            <w:fldChar w:fldCharType="begin"/>
          </w:r>
          <w:r>
            <w:rPr>
              <w:color w:val="auto"/>
              <w:highlight w:val="none"/>
            </w:rPr>
            <w:instrText xml:space="preserve"> PAGEREF _Toc30348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1EA44C4">
          <w:pPr>
            <w:pStyle w:val="12"/>
            <w:tabs>
              <w:tab w:val="right" w:leader="dot" w:pos="8888"/>
            </w:tabs>
            <w:spacing w:line="480" w:lineRule="exact"/>
            <w:ind w:left="0" w:leftChars="0"/>
            <w:rPr>
              <w:color w:val="auto"/>
              <w:highlight w:val="none"/>
            </w:rPr>
          </w:pPr>
          <w:r>
            <w:rPr>
              <w:color w:val="auto"/>
              <w:highlight w:val="none"/>
            </w:rPr>
            <w:fldChar w:fldCharType="begin"/>
          </w:r>
          <w:r>
            <w:rPr>
              <w:color w:val="auto"/>
              <w:highlight w:val="none"/>
            </w:rPr>
            <w:instrText xml:space="preserve"> HYPERLINK \l "_Toc25424" </w:instrText>
          </w:r>
          <w:r>
            <w:rPr>
              <w:color w:val="auto"/>
              <w:highlight w:val="none"/>
            </w:rPr>
            <w:fldChar w:fldCharType="separate"/>
          </w:r>
          <w:r>
            <w:rPr>
              <w:rFonts w:hint="eastAsia" w:ascii="宋体" w:hAnsi="宋体" w:eastAsia="宋体" w:cs="宋体"/>
              <w:color w:val="auto"/>
              <w:szCs w:val="24"/>
              <w:highlight w:val="none"/>
            </w:rPr>
            <w:t>第二章  供应商须知前附表</w:t>
          </w:r>
          <w:r>
            <w:rPr>
              <w:color w:val="auto"/>
              <w:highlight w:val="none"/>
            </w:rPr>
            <w:tab/>
          </w:r>
          <w:r>
            <w:rPr>
              <w:color w:val="auto"/>
              <w:highlight w:val="none"/>
            </w:rPr>
            <w:fldChar w:fldCharType="begin"/>
          </w:r>
          <w:r>
            <w:rPr>
              <w:color w:val="auto"/>
              <w:highlight w:val="none"/>
            </w:rPr>
            <w:instrText xml:space="preserve"> PAGEREF _Toc25424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0977FB4A">
          <w:pPr>
            <w:pStyle w:val="12"/>
            <w:tabs>
              <w:tab w:val="right" w:leader="dot" w:pos="8888"/>
            </w:tabs>
            <w:spacing w:line="480" w:lineRule="exact"/>
            <w:ind w:left="0" w:leftChars="0"/>
            <w:rPr>
              <w:color w:val="auto"/>
              <w:highlight w:val="none"/>
            </w:rPr>
          </w:pPr>
          <w:r>
            <w:rPr>
              <w:color w:val="auto"/>
              <w:highlight w:val="none"/>
            </w:rPr>
            <w:fldChar w:fldCharType="begin"/>
          </w:r>
          <w:r>
            <w:rPr>
              <w:color w:val="auto"/>
              <w:highlight w:val="none"/>
            </w:rPr>
            <w:instrText xml:space="preserve"> HYPERLINK \l "_Toc11917" </w:instrText>
          </w:r>
          <w:r>
            <w:rPr>
              <w:color w:val="auto"/>
              <w:highlight w:val="none"/>
            </w:rPr>
            <w:fldChar w:fldCharType="separate"/>
          </w:r>
          <w:r>
            <w:rPr>
              <w:rFonts w:hint="eastAsia" w:ascii="宋体" w:hAnsi="宋体" w:eastAsia="宋体" w:cs="宋体"/>
              <w:color w:val="auto"/>
              <w:szCs w:val="24"/>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_Toc11917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BC89039">
          <w:pPr>
            <w:pStyle w:val="12"/>
            <w:tabs>
              <w:tab w:val="right" w:leader="dot" w:pos="8888"/>
            </w:tabs>
            <w:spacing w:line="480" w:lineRule="exact"/>
            <w:ind w:left="0" w:leftChars="0"/>
            <w:rPr>
              <w:rFonts w:hint="eastAsia" w:eastAsia="仿宋_GB2312"/>
              <w:color w:val="auto"/>
              <w:highlight w:val="none"/>
              <w:lang w:val="en-US" w:eastAsia="zh-CN"/>
            </w:rPr>
          </w:pPr>
          <w:r>
            <w:rPr>
              <w:color w:val="auto"/>
              <w:highlight w:val="none"/>
            </w:rPr>
            <w:fldChar w:fldCharType="begin"/>
          </w:r>
          <w:r>
            <w:rPr>
              <w:color w:val="auto"/>
              <w:highlight w:val="none"/>
            </w:rPr>
            <w:instrText xml:space="preserve"> HYPERLINK \l "_Toc2581" </w:instrText>
          </w:r>
          <w:r>
            <w:rPr>
              <w:color w:val="auto"/>
              <w:highlight w:val="none"/>
            </w:rPr>
            <w:fldChar w:fldCharType="separate"/>
          </w:r>
          <w:r>
            <w:rPr>
              <w:rFonts w:hint="eastAsia" w:ascii="宋体" w:hAnsi="宋体" w:eastAsia="宋体" w:cs="宋体"/>
              <w:color w:val="auto"/>
              <w:szCs w:val="24"/>
              <w:highlight w:val="none"/>
            </w:rPr>
            <w:t>第四章</w:t>
          </w:r>
          <w:r>
            <w:rPr>
              <w:rFonts w:hint="eastAsia" w:ascii="宋体" w:hAnsi="宋体" w:cs="宋体"/>
              <w:color w:val="auto"/>
              <w:szCs w:val="24"/>
              <w:highlight w:val="none"/>
            </w:rPr>
            <w:t xml:space="preserve">  </w:t>
          </w:r>
          <w:r>
            <w:rPr>
              <w:rFonts w:hint="eastAsia" w:ascii="宋体" w:hAnsi="宋体" w:eastAsia="宋体" w:cs="宋体"/>
              <w:color w:val="auto"/>
              <w:szCs w:val="24"/>
              <w:highlight w:val="none"/>
            </w:rPr>
            <w:t>采购需求</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8</w:t>
          </w:r>
        </w:p>
        <w:p w14:paraId="30168A77">
          <w:pPr>
            <w:pStyle w:val="12"/>
            <w:tabs>
              <w:tab w:val="right" w:leader="dot" w:pos="8888"/>
            </w:tabs>
            <w:spacing w:line="480" w:lineRule="exact"/>
            <w:ind w:left="0" w:leftChars="0"/>
            <w:rPr>
              <w:color w:val="auto"/>
              <w:highlight w:val="none"/>
            </w:rPr>
          </w:pPr>
          <w:r>
            <w:rPr>
              <w:color w:val="auto"/>
              <w:highlight w:val="none"/>
            </w:rPr>
            <w:fldChar w:fldCharType="begin"/>
          </w:r>
          <w:r>
            <w:rPr>
              <w:color w:val="auto"/>
              <w:highlight w:val="none"/>
            </w:rPr>
            <w:instrText xml:space="preserve"> HYPERLINK \l "_Toc20436" </w:instrText>
          </w:r>
          <w:r>
            <w:rPr>
              <w:color w:val="auto"/>
              <w:highlight w:val="none"/>
            </w:rPr>
            <w:fldChar w:fldCharType="separate"/>
          </w:r>
          <w:r>
            <w:rPr>
              <w:rFonts w:hint="eastAsia" w:ascii="宋体" w:hAnsi="宋体" w:eastAsia="宋体" w:cs="宋体"/>
              <w:bCs/>
              <w:color w:val="auto"/>
              <w:szCs w:val="24"/>
              <w:highlight w:val="none"/>
            </w:rPr>
            <w:t>第五章  单一来源响应文件</w:t>
          </w:r>
          <w:r>
            <w:rPr>
              <w:color w:val="auto"/>
              <w:highlight w:val="none"/>
            </w:rPr>
            <w:tab/>
          </w:r>
          <w:r>
            <w:rPr>
              <w:color w:val="auto"/>
              <w:highlight w:val="none"/>
            </w:rPr>
            <w:fldChar w:fldCharType="begin"/>
          </w:r>
          <w:r>
            <w:rPr>
              <w:color w:val="auto"/>
              <w:highlight w:val="none"/>
            </w:rPr>
            <w:instrText xml:space="preserve"> PAGEREF _Toc20436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04D06633">
          <w:pPr>
            <w:pStyle w:val="12"/>
            <w:tabs>
              <w:tab w:val="right" w:leader="dot" w:pos="8888"/>
            </w:tabs>
            <w:spacing w:line="480" w:lineRule="exact"/>
            <w:ind w:left="0" w:leftChars="0"/>
            <w:rPr>
              <w:color w:val="auto"/>
              <w:highlight w:val="none"/>
            </w:rPr>
          </w:pPr>
        </w:p>
        <w:p w14:paraId="473EE8B9">
          <w:pPr>
            <w:spacing w:line="440" w:lineRule="exact"/>
            <w:rPr>
              <w:color w:val="auto"/>
              <w:highlight w:val="none"/>
            </w:rPr>
          </w:pPr>
          <w:r>
            <w:rPr>
              <w:rFonts w:hint="eastAsia" w:ascii="宋体" w:hAnsi="宋体" w:cs="宋体"/>
              <w:bCs/>
              <w:color w:val="auto"/>
              <w:highlight w:val="none"/>
            </w:rPr>
            <w:fldChar w:fldCharType="end"/>
          </w:r>
        </w:p>
      </w:sdtContent>
    </w:sdt>
    <w:p w14:paraId="26EAF250">
      <w:pPr>
        <w:pStyle w:val="2"/>
        <w:bidi w:val="0"/>
        <w:ind w:left="0" w:leftChars="0" w:firstLine="0" w:firstLineChars="0"/>
        <w:jc w:val="center"/>
        <w:rPr>
          <w:rFonts w:hint="eastAsia" w:ascii="宋体" w:hAnsi="宋体" w:eastAsia="宋体" w:cs="宋体"/>
          <w:b/>
          <w:bCs/>
          <w:color w:val="auto"/>
          <w:sz w:val="48"/>
          <w:szCs w:val="48"/>
          <w:highlight w:val="none"/>
        </w:rPr>
        <w:sectPr>
          <w:footerReference r:id="rId3" w:type="default"/>
          <w:pgSz w:w="11907" w:h="16839"/>
          <w:pgMar w:top="1118" w:right="1769" w:bottom="1233" w:left="1771" w:header="877" w:footer="982" w:gutter="0"/>
          <w:pgNumType w:fmt="decimal" w:start="1"/>
          <w:cols w:space="720" w:num="1"/>
        </w:sectPr>
      </w:pPr>
      <w:bookmarkStart w:id="1" w:name="_Toc30348"/>
    </w:p>
    <w:p w14:paraId="571BC8B5">
      <w:pPr>
        <w:pStyle w:val="2"/>
        <w:bidi w:val="0"/>
        <w:ind w:left="0" w:leftChars="0" w:firstLine="0" w:firstLineChars="0"/>
        <w:jc w:val="center"/>
        <w:rPr>
          <w:rFonts w:ascii="华文中宋" w:hAnsi="华文中宋" w:eastAsia="华文中宋" w:cs="华文中宋"/>
          <w:color w:val="auto"/>
          <w:kern w:val="0"/>
          <w:sz w:val="48"/>
          <w:szCs w:val="48"/>
          <w:highlight w:val="none"/>
        </w:rPr>
      </w:pPr>
      <w:bookmarkStart w:id="66" w:name="_GoBack"/>
      <w:r>
        <w:rPr>
          <w:rFonts w:hint="eastAsia" w:ascii="宋体" w:hAnsi="宋体" w:eastAsia="宋体" w:cs="宋体"/>
          <w:b/>
          <w:bCs/>
          <w:color w:val="auto"/>
          <w:sz w:val="48"/>
          <w:szCs w:val="48"/>
          <w:highlight w:val="none"/>
          <w:lang w:eastAsia="zh-CN"/>
        </w:rPr>
        <w:t>六安市叶集区人民医院(六安市第六人民医院)全国严重创伤救治信息交互联动系统服务采购项目</w:t>
      </w:r>
      <w:r>
        <w:rPr>
          <w:rFonts w:hint="eastAsia" w:ascii="宋体" w:hAnsi="宋体" w:eastAsia="宋体" w:cs="宋体"/>
          <w:b/>
          <w:bCs/>
          <w:color w:val="auto"/>
          <w:sz w:val="48"/>
          <w:szCs w:val="48"/>
          <w:highlight w:val="none"/>
        </w:rPr>
        <w:t>单一来源方式采购的公示</w:t>
      </w:r>
      <w:bookmarkEnd w:id="66"/>
    </w:p>
    <w:p w14:paraId="37780EAE">
      <w:pPr>
        <w:pStyle w:val="5"/>
        <w:spacing w:after="0" w:line="560" w:lineRule="exact"/>
        <w:ind w:firstLine="560" w:firstLineChars="200"/>
        <w:rPr>
          <w:rFonts w:hint="eastAsia" w:ascii="仿宋" w:hAnsi="仿宋" w:eastAsia="仿宋" w:cs="仿宋"/>
          <w:color w:val="auto"/>
          <w:sz w:val="28"/>
          <w:szCs w:val="28"/>
          <w:highlight w:val="none"/>
          <w:lang w:val="en-US" w:eastAsia="zh-CN"/>
        </w:rPr>
      </w:pPr>
    </w:p>
    <w:p w14:paraId="0542CAD5">
      <w:pPr>
        <w:pStyle w:val="5"/>
        <w:spacing w:after="0"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根据《中华人民共和国政府采购法》、《政府采购非招标方式管理办法》（财政部令第74号）等相关法律规定，现就本项目拟采取单一来源方式采购予以公示。</w:t>
      </w:r>
    </w:p>
    <w:p w14:paraId="40FD3CEC">
      <w:pPr>
        <w:pStyle w:val="5"/>
        <w:spacing w:after="0" w:line="560" w:lineRule="exact"/>
        <w:ind w:left="559" w:leftChars="266"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一、采购人名称：</w:t>
      </w:r>
      <w:r>
        <w:rPr>
          <w:rFonts w:hint="eastAsia" w:ascii="仿宋" w:hAnsi="仿宋" w:eastAsia="仿宋" w:cs="仿宋"/>
          <w:color w:val="auto"/>
          <w:sz w:val="28"/>
          <w:szCs w:val="28"/>
          <w:highlight w:val="none"/>
          <w:lang w:val="en-US" w:eastAsia="zh-CN"/>
        </w:rPr>
        <w:t>六安市叶集区人民医院（六安市第六人民医院）</w:t>
      </w:r>
      <w:r>
        <w:rPr>
          <w:rFonts w:hint="eastAsia" w:ascii="仿宋" w:hAnsi="仿宋" w:eastAsia="仿宋" w:cs="仿宋"/>
          <w:b/>
          <w:bCs/>
          <w:color w:val="auto"/>
          <w:sz w:val="28"/>
          <w:szCs w:val="28"/>
          <w:highlight w:val="none"/>
          <w:lang w:val="en-US" w:eastAsia="zh-CN"/>
        </w:rPr>
        <w:t>二、采购人地址：</w:t>
      </w:r>
      <w:r>
        <w:rPr>
          <w:rFonts w:hint="eastAsia" w:ascii="仿宋" w:hAnsi="仿宋" w:eastAsia="仿宋" w:cs="仿宋"/>
          <w:color w:val="auto"/>
          <w:sz w:val="28"/>
          <w:szCs w:val="28"/>
          <w:highlight w:val="none"/>
          <w:lang w:val="en-US" w:eastAsia="zh-CN"/>
        </w:rPr>
        <w:t>六安市叶集区民强北路与兴叶大道交叉口</w:t>
      </w:r>
    </w:p>
    <w:p w14:paraId="40C64827">
      <w:pPr>
        <w:pStyle w:val="5"/>
        <w:spacing w:after="0"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三、采购</w:t>
      </w:r>
      <w:r>
        <w:rPr>
          <w:rFonts w:hint="eastAsia" w:ascii="仿宋" w:hAnsi="仿宋" w:eastAsia="仿宋" w:cs="仿宋"/>
          <w:b/>
          <w:bCs/>
          <w:color w:val="auto"/>
          <w:sz w:val="28"/>
          <w:szCs w:val="28"/>
          <w:highlight w:val="none"/>
        </w:rPr>
        <w:t>项目名称：</w:t>
      </w:r>
      <w:r>
        <w:rPr>
          <w:rFonts w:hint="eastAsia" w:ascii="仿宋" w:hAnsi="仿宋" w:eastAsia="仿宋" w:cs="仿宋"/>
          <w:color w:val="auto"/>
          <w:sz w:val="28"/>
          <w:szCs w:val="28"/>
          <w:highlight w:val="none"/>
          <w:lang w:val="en-US" w:eastAsia="zh-CN"/>
        </w:rPr>
        <w:t>六安市叶集区人民医院(六安市第六人民医院)全国严重创伤救治信息交互联动系统服务采购项目</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val="en-US" w:eastAsia="zh-CN"/>
        </w:rPr>
        <w:t>LASYJQRMYY-XXK2026-12</w:t>
      </w:r>
      <w:r>
        <w:rPr>
          <w:rFonts w:hint="eastAsia" w:ascii="仿宋" w:hAnsi="仿宋" w:eastAsia="仿宋" w:cs="仿宋"/>
          <w:color w:val="auto"/>
          <w:sz w:val="28"/>
          <w:szCs w:val="28"/>
          <w:highlight w:val="none"/>
        </w:rPr>
        <w:t>）</w:t>
      </w:r>
    </w:p>
    <w:p w14:paraId="2A354698">
      <w:pPr>
        <w:pStyle w:val="5"/>
        <w:spacing w:after="0"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项目类型：</w:t>
      </w:r>
      <w:r>
        <w:rPr>
          <w:rFonts w:hint="eastAsia" w:ascii="仿宋" w:hAnsi="仿宋" w:eastAsia="仿宋" w:cs="仿宋"/>
          <w:color w:val="auto"/>
          <w:sz w:val="28"/>
          <w:szCs w:val="28"/>
          <w:highlight w:val="none"/>
        </w:rPr>
        <w:t>服务类</w:t>
      </w:r>
    </w:p>
    <w:p w14:paraId="2DDB59CB">
      <w:pPr>
        <w:pStyle w:val="5"/>
        <w:spacing w:after="0" w:line="560" w:lineRule="exact"/>
        <w:ind w:firstLine="562" w:firstLineChars="200"/>
        <w:rPr>
          <w:rFonts w:hint="default" w:ascii="仿宋" w:hAnsi="仿宋" w:eastAsia="仿宋" w:cs="仿宋"/>
          <w:color w:val="auto"/>
          <w:sz w:val="28"/>
          <w:szCs w:val="28"/>
          <w:highlight w:val="none"/>
          <w:lang w:val="en-US"/>
        </w:rPr>
      </w:pPr>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28"/>
          <w:highlight w:val="none"/>
        </w:rPr>
        <w:t>拟采购服务的说明</w:t>
      </w:r>
      <w:r>
        <w:rPr>
          <w:rFonts w:hint="eastAsia" w:ascii="仿宋" w:hAnsi="仿宋" w:eastAsia="仿宋" w:cs="仿宋"/>
          <w:b/>
          <w:bCs/>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为满足中国创伤救治联盟对创伤中心数据上报的统一要求，保障我院严重创伤救治信息的实时交互与规范管理，同时确保与国家级平台的系统兼容性及数据安全，拟采用单一来源方式采购“全国严重创伤救治信息交互联动系统”服务。</w:t>
      </w:r>
    </w:p>
    <w:p w14:paraId="21A6B1A2">
      <w:pPr>
        <w:pStyle w:val="5"/>
        <w:spacing w:after="0"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rPr>
        <w:t>拟采购服务的预算金额：6.</w:t>
      </w:r>
      <w:r>
        <w:rPr>
          <w:rFonts w:hint="eastAsia" w:ascii="仿宋" w:hAnsi="仿宋" w:eastAsia="仿宋" w:cs="仿宋"/>
          <w:b/>
          <w:bCs/>
          <w:color w:val="auto"/>
          <w:sz w:val="28"/>
          <w:szCs w:val="28"/>
          <w:highlight w:val="none"/>
          <w:lang w:val="en-US" w:eastAsia="zh-CN"/>
        </w:rPr>
        <w:t>60</w:t>
      </w:r>
      <w:r>
        <w:rPr>
          <w:rFonts w:hint="eastAsia" w:ascii="仿宋" w:hAnsi="仿宋" w:eastAsia="仿宋" w:cs="仿宋"/>
          <w:b/>
          <w:bCs/>
          <w:color w:val="auto"/>
          <w:sz w:val="28"/>
          <w:szCs w:val="28"/>
          <w:highlight w:val="none"/>
        </w:rPr>
        <w:t>万元</w:t>
      </w:r>
    </w:p>
    <w:p w14:paraId="1B211EDC">
      <w:pPr>
        <w:keepNext w:val="0"/>
        <w:keepLines w:val="0"/>
        <w:pageBreakBefore w:val="0"/>
        <w:widowControl w:val="0"/>
        <w:kinsoku/>
        <w:wordWrap w:val="0"/>
        <w:overflowPunct/>
        <w:topLinePunct w:val="0"/>
        <w:autoSpaceDE/>
        <w:autoSpaceDN/>
        <w:bidi w:val="0"/>
        <w:adjustRightInd/>
        <w:snapToGrid/>
        <w:spacing w:line="560" w:lineRule="exact"/>
        <w:ind w:left="559" w:leftChars="266" w:firstLine="0" w:firstLineChars="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七、</w:t>
      </w:r>
      <w:r>
        <w:rPr>
          <w:rFonts w:hint="eastAsia" w:ascii="仿宋" w:hAnsi="仿宋" w:eastAsia="仿宋" w:cs="仿宋"/>
          <w:b/>
          <w:bCs/>
          <w:color w:val="auto"/>
          <w:sz w:val="28"/>
          <w:szCs w:val="28"/>
          <w:highlight w:val="none"/>
        </w:rPr>
        <w:t>采用单一来源采购方式的原因及说明：</w:t>
      </w:r>
      <w:r>
        <w:rPr>
          <w:rFonts w:hint="eastAsia" w:ascii="仿宋" w:hAnsi="仿宋" w:eastAsia="仿宋" w:cs="仿宋"/>
          <w:color w:val="auto"/>
          <w:sz w:val="28"/>
          <w:szCs w:val="28"/>
          <w:highlight w:val="none"/>
          <w:lang w:val="en-US" w:eastAsia="zh-CN"/>
        </w:rPr>
        <w:br w:type="textWrapping"/>
      </w:r>
      <w:r>
        <w:rPr>
          <w:rFonts w:hint="eastAsia" w:ascii="仿宋" w:hAnsi="仿宋" w:eastAsia="仿宋" w:cs="仿宋"/>
          <w:color w:val="auto"/>
          <w:sz w:val="28"/>
          <w:szCs w:val="28"/>
          <w:highlight w:val="none"/>
          <w:lang w:val="en-US" w:eastAsia="zh-CN"/>
        </w:rPr>
        <w:t>1、系统唯一性与业务规范性要求</w:t>
      </w:r>
    </w:p>
    <w:p w14:paraId="0ABBB219">
      <w:pPr>
        <w:keepNext w:val="0"/>
        <w:keepLines w:val="0"/>
        <w:pageBreakBefore w:val="0"/>
        <w:widowControl w:val="0"/>
        <w:kinsoku/>
        <w:wordWrap w:val="0"/>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国创伤救治联盟明确要求所有成员单位（包括拟创建创伤中心的医院）必须使用“全国严重创伤救治信息交互联动系统”进行数据上报。该系统是国内唯一经联盟认证并全面部署的创伤救治信息管理平台，全国已有2400余家医院、安徽省70余家医院统一使用。我院创伤中心必须与联盟平台实现数据直连，以确保上报数据的标准统一、质控可比及业务合规，其他系统无法替代。</w:t>
      </w:r>
      <w:r>
        <w:rPr>
          <w:rFonts w:hint="eastAsia" w:ascii="仿宋" w:hAnsi="仿宋" w:eastAsia="仿宋" w:cs="仿宋"/>
          <w:color w:val="auto"/>
          <w:sz w:val="28"/>
          <w:szCs w:val="28"/>
          <w:highlight w:val="none"/>
          <w:lang w:val="en-US" w:eastAsia="zh-CN"/>
        </w:rPr>
        <w:br w:type="textWrapping"/>
      </w:r>
      <w:r>
        <w:rPr>
          <w:rFonts w:hint="eastAsia" w:ascii="仿宋" w:hAnsi="仿宋" w:eastAsia="仿宋" w:cs="仿宋"/>
          <w:color w:val="auto"/>
          <w:sz w:val="28"/>
          <w:szCs w:val="28"/>
          <w:highlight w:val="none"/>
          <w:lang w:val="en-US" w:eastAsia="zh-CN"/>
        </w:rPr>
        <w:t xml:space="preserve">   2、技术独占性与接口兼容性保障</w:t>
      </w:r>
      <w:r>
        <w:rPr>
          <w:rFonts w:hint="eastAsia" w:ascii="仿宋" w:hAnsi="仿宋" w:eastAsia="仿宋" w:cs="仿宋"/>
          <w:color w:val="auto"/>
          <w:sz w:val="28"/>
          <w:szCs w:val="28"/>
          <w:highlight w:val="none"/>
          <w:lang w:val="en-US" w:eastAsia="zh-CN"/>
        </w:rPr>
        <w:br w:type="textWrapping"/>
      </w:r>
      <w:r>
        <w:rPr>
          <w:rFonts w:hint="eastAsia" w:ascii="仿宋" w:hAnsi="仿宋" w:eastAsia="仿宋" w:cs="仿宋"/>
          <w:color w:val="auto"/>
          <w:sz w:val="28"/>
          <w:szCs w:val="28"/>
          <w:highlight w:val="none"/>
          <w:lang w:val="en-US" w:eastAsia="zh-CN"/>
        </w:rPr>
        <w:t xml:space="preserve">   北京紫云智能科技有限公司是该系统的唯一开发商，拥有完整的软件著作权、源代码及数据接口规范，并负责系统的日常运营与维护。该平台与国家级创伤数据中心具有专有对接协议，北京紫云智能科技有限公司独家持有,其他产品无法完成数据同步上报，不具备替代方案。</w:t>
      </w:r>
    </w:p>
    <w:p w14:paraId="569CA1BE">
      <w:pPr>
        <w:keepNext w:val="0"/>
        <w:keepLines w:val="0"/>
        <w:pageBreakBefore w:val="0"/>
        <w:widowControl w:val="0"/>
        <w:kinsoku/>
        <w:wordWrap w:val="0"/>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综上，该项目符合《中华人民共和国政府采购法》第三十一条关于“只能从唯一供应商处采购”的规定，北京紫云智能科技有限公司符合本项目单一来源方式采购。</w:t>
      </w:r>
    </w:p>
    <w:p w14:paraId="047318A0">
      <w:pPr>
        <w:keepNext w:val="0"/>
        <w:keepLines w:val="0"/>
        <w:pageBreakBefore w:val="0"/>
        <w:widowControl w:val="0"/>
        <w:kinsoku/>
        <w:wordWrap w:val="0"/>
        <w:overflowPunct/>
        <w:topLinePunct w:val="0"/>
        <w:autoSpaceDE/>
        <w:autoSpaceDN/>
        <w:bidi w:val="0"/>
        <w:adjustRightInd/>
        <w:snapToGrid/>
        <w:spacing w:line="56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八、</w:t>
      </w:r>
      <w:r>
        <w:rPr>
          <w:rFonts w:hint="eastAsia" w:ascii="仿宋" w:hAnsi="仿宋" w:eastAsia="仿宋" w:cs="仿宋"/>
          <w:b/>
          <w:bCs/>
          <w:color w:val="auto"/>
          <w:sz w:val="28"/>
          <w:szCs w:val="28"/>
          <w:highlight w:val="none"/>
        </w:rPr>
        <w:t>拟定供应商信息：</w:t>
      </w:r>
      <w:r>
        <w:rPr>
          <w:rFonts w:hint="eastAsia" w:ascii="仿宋" w:hAnsi="仿宋" w:eastAsia="仿宋" w:cs="仿宋"/>
          <w:b w:val="0"/>
          <w:bCs w:val="0"/>
          <w:color w:val="auto"/>
          <w:sz w:val="28"/>
          <w:szCs w:val="28"/>
          <w:highlight w:val="none"/>
        </w:rPr>
        <w:t>北京紫云智能科技有限公司</w:t>
      </w:r>
    </w:p>
    <w:p w14:paraId="1BA3C6DC">
      <w:pPr>
        <w:spacing w:line="560" w:lineRule="exact"/>
        <w:ind w:firstLine="562"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九、拟定唯一供应商地址：</w:t>
      </w:r>
      <w:r>
        <w:rPr>
          <w:rFonts w:hint="eastAsia" w:ascii="仿宋" w:hAnsi="仿宋" w:eastAsia="仿宋" w:cs="仿宋"/>
          <w:color w:val="auto"/>
          <w:sz w:val="28"/>
          <w:szCs w:val="28"/>
          <w:highlight w:val="none"/>
        </w:rPr>
        <w:t>北京市朝阳区北苑路18号院3号楼1层101等[39]套内2层201内205号</w:t>
      </w:r>
    </w:p>
    <w:p w14:paraId="01914D61">
      <w:pPr>
        <w:spacing w:line="560" w:lineRule="exact"/>
        <w:ind w:firstLine="560" w:firstLineChars="200"/>
        <w:rPr>
          <w:rFonts w:hint="eastAsia" w:ascii="黑体" w:hAnsi="黑体" w:eastAsia="黑体" w:cs="黑体"/>
          <w:color w:val="auto"/>
          <w:sz w:val="28"/>
          <w:szCs w:val="28"/>
          <w:highlight w:val="none"/>
          <w:vertAlign w:val="baseline"/>
        </w:rPr>
      </w:pPr>
      <w:r>
        <w:rPr>
          <w:rFonts w:hint="eastAsia" w:ascii="仿宋" w:hAnsi="仿宋" w:eastAsia="仿宋" w:cs="仿宋"/>
          <w:color w:val="auto"/>
          <w:sz w:val="28"/>
          <w:szCs w:val="28"/>
          <w:highlight w:val="none"/>
          <w:lang w:val="en-US" w:eastAsia="zh-CN"/>
        </w:rPr>
        <w:t>十、专业人员对相关供应商因具体论证意见：本次“六安市叶集区人民医院(六安市第六人民医院)全国严重创伤救治信息交互联动系统服务采购项目”具备唯一性与不可替代性。北京紫云智能科技有限公司符合符合《中华人民共和国政府采购法》第三十一条关于“只能从唯一供应商处采购”的规定，北京紫云智能科技有限公司符合本项目单一来源方式采购。</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4486"/>
        <w:gridCol w:w="2115"/>
      </w:tblGrid>
      <w:tr w14:paraId="1BD7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top"/>
          </w:tcPr>
          <w:p w14:paraId="38F35ACC">
            <w:pPr>
              <w:spacing w:line="560" w:lineRule="exact"/>
              <w:jc w:val="center"/>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姓名</w:t>
            </w:r>
          </w:p>
        </w:tc>
        <w:tc>
          <w:tcPr>
            <w:tcW w:w="4486" w:type="dxa"/>
            <w:vAlign w:val="top"/>
          </w:tcPr>
          <w:p w14:paraId="72D4FF92">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工作单位</w:t>
            </w:r>
          </w:p>
        </w:tc>
        <w:tc>
          <w:tcPr>
            <w:tcW w:w="2115" w:type="dxa"/>
            <w:vAlign w:val="top"/>
          </w:tcPr>
          <w:p w14:paraId="62EE71BA">
            <w:pPr>
              <w:spacing w:line="560" w:lineRule="exact"/>
              <w:jc w:val="center"/>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rPr>
              <w:t>职称/职务</w:t>
            </w:r>
          </w:p>
        </w:tc>
      </w:tr>
      <w:tr w14:paraId="4630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top"/>
          </w:tcPr>
          <w:p w14:paraId="687A3024">
            <w:pPr>
              <w:spacing w:line="560" w:lineRule="exact"/>
              <w:jc w:val="center"/>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荣</w:t>
            </w:r>
            <w:r>
              <w:rPr>
                <w:rFonts w:hint="eastAsia" w:ascii="仿宋" w:hAnsi="仿宋" w:eastAsia="仿宋" w:cs="仿宋"/>
                <w:color w:val="auto"/>
                <w:sz w:val="28"/>
                <w:szCs w:val="28"/>
                <w:highlight w:val="none"/>
                <w:vertAlign w:val="baseline"/>
                <w:lang w:val="en-US" w:eastAsia="zh-CN"/>
              </w:rPr>
              <w:t>先丙</w:t>
            </w:r>
          </w:p>
        </w:tc>
        <w:tc>
          <w:tcPr>
            <w:tcW w:w="4486" w:type="dxa"/>
            <w:vAlign w:val="top"/>
          </w:tcPr>
          <w:p w14:paraId="01265C89">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六安市城市建设档案馆</w:t>
            </w:r>
          </w:p>
        </w:tc>
        <w:tc>
          <w:tcPr>
            <w:tcW w:w="2115" w:type="dxa"/>
            <w:vAlign w:val="top"/>
          </w:tcPr>
          <w:p w14:paraId="70DDEA9A">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高级工程师</w:t>
            </w:r>
          </w:p>
        </w:tc>
      </w:tr>
      <w:tr w14:paraId="28C3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top"/>
          </w:tcPr>
          <w:p w14:paraId="512686C8">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吴孝俊</w:t>
            </w:r>
          </w:p>
        </w:tc>
        <w:tc>
          <w:tcPr>
            <w:tcW w:w="4486" w:type="dxa"/>
            <w:vAlign w:val="top"/>
          </w:tcPr>
          <w:p w14:paraId="6CD83ECD">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安徽省六安第一中学</w:t>
            </w:r>
          </w:p>
        </w:tc>
        <w:tc>
          <w:tcPr>
            <w:tcW w:w="2115" w:type="dxa"/>
            <w:vAlign w:val="top"/>
          </w:tcPr>
          <w:p w14:paraId="4CE44128">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中学高级</w:t>
            </w:r>
          </w:p>
        </w:tc>
      </w:tr>
      <w:tr w14:paraId="30E3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top"/>
          </w:tcPr>
          <w:p w14:paraId="2C657843">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赵静</w:t>
            </w:r>
          </w:p>
        </w:tc>
        <w:tc>
          <w:tcPr>
            <w:tcW w:w="4486" w:type="dxa"/>
            <w:vAlign w:val="top"/>
          </w:tcPr>
          <w:p w14:paraId="4AABF214">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六安市公共资源交易中心</w:t>
            </w:r>
          </w:p>
        </w:tc>
        <w:tc>
          <w:tcPr>
            <w:tcW w:w="2115" w:type="dxa"/>
            <w:vAlign w:val="top"/>
          </w:tcPr>
          <w:p w14:paraId="7BA931BB">
            <w:pPr>
              <w:spacing w:line="560" w:lineRule="exact"/>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工程师</w:t>
            </w:r>
          </w:p>
        </w:tc>
      </w:tr>
    </w:tbl>
    <w:p w14:paraId="6B8039C2">
      <w:pPr>
        <w:spacing w:line="560" w:lineRule="exact"/>
        <w:ind w:firstLine="562"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十一、</w:t>
      </w:r>
      <w:r>
        <w:rPr>
          <w:rFonts w:hint="eastAsia" w:ascii="仿宋" w:hAnsi="仿宋" w:eastAsia="仿宋" w:cs="仿宋"/>
          <w:b/>
          <w:bCs/>
          <w:color w:val="auto"/>
          <w:sz w:val="28"/>
          <w:szCs w:val="28"/>
          <w:highlight w:val="none"/>
        </w:rPr>
        <w:t>公示期限：</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日至202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日。任何供应商、单位或个人对采用单一来源采购方式有异议的，可以在公示期内以书面形式向采购人反映。如无异议，公示结束后将采用单一来源采购方式采购。</w:t>
      </w:r>
      <w:r>
        <w:rPr>
          <w:rFonts w:hint="eastAsia" w:ascii="仿宋" w:hAnsi="仿宋" w:eastAsia="仿宋" w:cs="仿宋"/>
          <w:color w:val="auto"/>
          <w:sz w:val="28"/>
          <w:szCs w:val="28"/>
          <w:highlight w:val="none"/>
        </w:rPr>
        <w:br w:type="textWrapping"/>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b/>
          <w:bCs/>
          <w:color w:val="auto"/>
          <w:sz w:val="28"/>
          <w:szCs w:val="28"/>
          <w:highlight w:val="none"/>
          <w:lang w:val="en-US" w:eastAsia="zh-CN"/>
        </w:rPr>
        <w:t>十二、协商时间及方式：</w:t>
      </w:r>
      <w:r>
        <w:rPr>
          <w:rFonts w:hint="eastAsia" w:ascii="仿宋" w:hAnsi="仿宋" w:eastAsia="仿宋" w:cs="仿宋"/>
          <w:b/>
          <w:bCs/>
          <w:color w:val="auto"/>
          <w:sz w:val="28"/>
          <w:szCs w:val="28"/>
          <w:highlight w:val="none"/>
          <w:lang w:val="en-US" w:eastAsia="zh-CN"/>
        </w:rPr>
        <w:br w:type="textWrapping"/>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color w:val="auto"/>
          <w:sz w:val="28"/>
          <w:szCs w:val="28"/>
          <w:highlight w:val="none"/>
          <w:lang w:val="en-US" w:eastAsia="zh-CN"/>
        </w:rPr>
        <w:t>1、协商时间：2026年7月10日上午10时00分</w:t>
      </w:r>
    </w:p>
    <w:p w14:paraId="51441D73">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2、协商方式：现场协商</w:t>
      </w:r>
    </w:p>
    <w:p w14:paraId="11F838A8">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3、协商地点：六安市叶集区人民医院10楼会议室。</w:t>
      </w:r>
    </w:p>
    <w:p w14:paraId="4D14D52A">
      <w:pPr>
        <w:spacing w:line="560" w:lineRule="exact"/>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十二、</w:t>
      </w:r>
      <w:r>
        <w:rPr>
          <w:rFonts w:hint="eastAsia" w:ascii="仿宋" w:hAnsi="仿宋" w:eastAsia="仿宋" w:cs="仿宋"/>
          <w:b/>
          <w:bCs/>
          <w:color w:val="auto"/>
          <w:sz w:val="28"/>
          <w:szCs w:val="28"/>
          <w:highlight w:val="none"/>
        </w:rPr>
        <w:t>联系方式</w:t>
      </w:r>
    </w:p>
    <w:p w14:paraId="1E7EA826">
      <w:pPr>
        <w:spacing w:line="560" w:lineRule="exact"/>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1.采购人：六安市叶集区人民医院（六安市第六人民医院）</w:t>
      </w:r>
    </w:p>
    <w:p w14:paraId="71A39B43">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联系地址：六安市叶集区兴叶大道与民强北路交叉口</w:t>
      </w:r>
    </w:p>
    <w:p w14:paraId="55719D3C">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联系电话：0564-6488599</w:t>
      </w:r>
    </w:p>
    <w:p w14:paraId="6A672061">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2.采购代理机构：安徽同方工程咨询有限公司 </w:t>
      </w:r>
    </w:p>
    <w:p w14:paraId="3774AFCF">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 系 人：</w:t>
      </w:r>
      <w:r>
        <w:rPr>
          <w:rFonts w:hint="eastAsia" w:ascii="仿宋" w:hAnsi="仿宋" w:eastAsia="仿宋" w:cs="仿宋"/>
          <w:color w:val="auto"/>
          <w:sz w:val="28"/>
          <w:szCs w:val="28"/>
          <w:highlight w:val="none"/>
          <w:lang w:val="en-US" w:eastAsia="zh-CN"/>
        </w:rPr>
        <w:t>胡</w:t>
      </w:r>
      <w:r>
        <w:rPr>
          <w:rFonts w:hint="eastAsia" w:ascii="仿宋" w:hAnsi="仿宋" w:eastAsia="仿宋" w:cs="仿宋"/>
          <w:color w:val="auto"/>
          <w:sz w:val="28"/>
          <w:szCs w:val="28"/>
          <w:highlight w:val="none"/>
        </w:rPr>
        <w:t>工</w:t>
      </w:r>
    </w:p>
    <w:p w14:paraId="72549579">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联系地址：六安市东城路上东阳光城6号楼5楼</w:t>
      </w:r>
    </w:p>
    <w:p w14:paraId="12F7BAC4">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联系电话：0564-3284233</w:t>
      </w:r>
    </w:p>
    <w:p w14:paraId="13A00185">
      <w:pPr>
        <w:spacing w:line="560" w:lineRule="exact"/>
        <w:ind w:firstLine="560" w:firstLineChars="200"/>
        <w:jc w:val="right"/>
        <w:rPr>
          <w:rFonts w:hint="eastAsia" w:ascii="仿宋" w:hAnsi="仿宋" w:eastAsia="仿宋" w:cs="仿宋"/>
          <w:color w:val="auto"/>
          <w:sz w:val="28"/>
          <w:szCs w:val="28"/>
          <w:highlight w:val="none"/>
          <w:lang w:val="en-US" w:eastAsia="zh-CN"/>
        </w:rPr>
      </w:pPr>
    </w:p>
    <w:p w14:paraId="511FDF98">
      <w:pPr>
        <w:spacing w:line="560" w:lineRule="exact"/>
        <w:ind w:firstLine="560" w:firstLineChars="200"/>
        <w:jc w:val="righ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w:t>
      </w:r>
    </w:p>
    <w:p w14:paraId="6554BD3A">
      <w:pPr>
        <w:rPr>
          <w:color w:val="auto"/>
          <w:highlight w:val="none"/>
        </w:rPr>
      </w:pPr>
    </w:p>
    <w:p w14:paraId="34A85350">
      <w:pPr>
        <w:rPr>
          <w:rFonts w:ascii="宋体" w:hAnsi="宋体" w:cs="宋体"/>
          <w:color w:val="auto"/>
          <w:sz w:val="24"/>
          <w:highlight w:val="none"/>
        </w:rPr>
      </w:pPr>
      <w:r>
        <w:rPr>
          <w:rFonts w:hint="eastAsia" w:ascii="宋体" w:hAnsi="宋体" w:cs="宋体"/>
          <w:color w:val="auto"/>
          <w:sz w:val="24"/>
          <w:highlight w:val="none"/>
        </w:rPr>
        <w:br w:type="page"/>
      </w:r>
    </w:p>
    <w:p w14:paraId="4CF34ECF">
      <w:pPr>
        <w:pStyle w:val="3"/>
        <w:spacing w:before="120" w:beforeLines="50" w:after="120" w:afterLines="50" w:line="560" w:lineRule="exact"/>
        <w:jc w:val="center"/>
        <w:rPr>
          <w:rFonts w:asciiTheme="minorEastAsia" w:hAnsiTheme="minorEastAsia" w:eastAsiaTheme="minorEastAsia" w:cstheme="minorEastAsia"/>
          <w:b/>
          <w:bCs/>
          <w:color w:val="auto"/>
          <w:kern w:val="0"/>
          <w:sz w:val="24"/>
          <w:highlight w:val="none"/>
          <w:u w:val="single"/>
        </w:rPr>
      </w:pPr>
      <w:r>
        <w:rPr>
          <w:rFonts w:hint="eastAsia" w:ascii="宋体" w:hAnsi="宋体" w:eastAsia="宋体" w:cs="宋体"/>
          <w:color w:val="auto"/>
          <w:sz w:val="24"/>
          <w:szCs w:val="24"/>
          <w:highlight w:val="none"/>
        </w:rPr>
        <w:t>第一章 单一来源采购邀请书</w:t>
      </w:r>
      <w:bookmarkEnd w:id="0"/>
      <w:bookmarkEnd w:id="1"/>
    </w:p>
    <w:p w14:paraId="2D8AEA2D">
      <w:pPr>
        <w:spacing w:line="800" w:lineRule="exact"/>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u w:val="single"/>
        </w:rPr>
        <w:t>北京紫云智能科技有限公司</w:t>
      </w:r>
      <w:r>
        <w:rPr>
          <w:rFonts w:hint="eastAsia" w:asciiTheme="minorEastAsia" w:hAnsiTheme="minorEastAsia" w:eastAsiaTheme="minorEastAsia" w:cstheme="minorEastAsia"/>
          <w:b/>
          <w:bCs/>
          <w:color w:val="auto"/>
          <w:kern w:val="0"/>
          <w:sz w:val="24"/>
          <w:highlight w:val="none"/>
        </w:rPr>
        <w:t>：</w:t>
      </w:r>
    </w:p>
    <w:p w14:paraId="67A884D5">
      <w:pPr>
        <w:spacing w:line="800" w:lineRule="exact"/>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u w:val="single"/>
          <w:lang w:val="en-US" w:eastAsia="zh-CN"/>
        </w:rPr>
        <w:t>六安市叶集区人民医院(六安市第六人民医院)全国严重创伤救治信息交互联动系统服务采购项目</w:t>
      </w:r>
      <w:r>
        <w:rPr>
          <w:rFonts w:hint="eastAsia" w:asciiTheme="minorEastAsia" w:hAnsiTheme="minorEastAsia" w:eastAsiaTheme="minorEastAsia" w:cstheme="minorEastAsia"/>
          <w:color w:val="auto"/>
          <w:kern w:val="0"/>
          <w:sz w:val="24"/>
          <w:highlight w:val="none"/>
        </w:rPr>
        <w:t>采用单一来源方式进行采购，贵公司为本项目的唯一供应商。请贵公司按照本项目采购文件的要求，编制单一来源响应文件，在供应商须知前附表规定的递交截止时间前</w:t>
      </w:r>
      <w:r>
        <w:rPr>
          <w:rFonts w:hint="eastAsia" w:asciiTheme="minorEastAsia" w:hAnsiTheme="minorEastAsia" w:eastAsiaTheme="minorEastAsia" w:cstheme="minorEastAsia"/>
          <w:color w:val="auto"/>
          <w:kern w:val="0"/>
          <w:sz w:val="24"/>
          <w:highlight w:val="none"/>
          <w:lang w:val="en-US" w:eastAsia="zh-CN"/>
        </w:rPr>
        <w:t>现场</w:t>
      </w:r>
      <w:r>
        <w:rPr>
          <w:rFonts w:hint="eastAsia" w:asciiTheme="minorEastAsia" w:hAnsiTheme="minorEastAsia" w:eastAsiaTheme="minorEastAsia" w:cstheme="minorEastAsia"/>
          <w:color w:val="auto"/>
          <w:kern w:val="0"/>
          <w:sz w:val="24"/>
          <w:highlight w:val="none"/>
        </w:rPr>
        <w:t>递交，并就本项目的商务、技术和报价等有关问题，进行进一步的协商。</w:t>
      </w:r>
    </w:p>
    <w:p w14:paraId="47AF2DE7">
      <w:pPr>
        <w:spacing w:line="800" w:lineRule="exact"/>
        <w:rPr>
          <w:rFonts w:asciiTheme="minorEastAsia" w:hAnsiTheme="minorEastAsia" w:eastAsiaTheme="minorEastAsia" w:cstheme="minorEastAsia"/>
          <w:color w:val="auto"/>
          <w:kern w:val="0"/>
          <w:sz w:val="24"/>
          <w:highlight w:val="none"/>
        </w:rPr>
      </w:pPr>
    </w:p>
    <w:p w14:paraId="7E757980">
      <w:pPr>
        <w:wordWrap w:val="0"/>
        <w:spacing w:line="800" w:lineRule="exact"/>
        <w:ind w:right="480" w:firstLine="3240" w:firstLineChars="1350"/>
        <w:jc w:val="righ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2026</w:t>
      </w:r>
      <w:r>
        <w:rPr>
          <w:rFonts w:hint="eastAsia" w:asciiTheme="minorEastAsia" w:hAnsiTheme="minorEastAsia" w:eastAsiaTheme="minorEastAsia" w:cstheme="minorEastAsia"/>
          <w:color w:val="auto"/>
          <w:kern w:val="0"/>
          <w:sz w:val="24"/>
          <w:highlight w:val="none"/>
        </w:rPr>
        <w:t>年</w:t>
      </w:r>
      <w:r>
        <w:rPr>
          <w:rFonts w:hint="eastAsia" w:asciiTheme="minorEastAsia" w:hAnsiTheme="minorEastAsia" w:eastAsiaTheme="minorEastAsia" w:cstheme="minorEastAsia"/>
          <w:color w:val="auto"/>
          <w:kern w:val="0"/>
          <w:sz w:val="24"/>
          <w:highlight w:val="none"/>
          <w:lang w:val="en-US" w:eastAsia="zh-CN"/>
        </w:rPr>
        <w:t>7</w:t>
      </w:r>
      <w:r>
        <w:rPr>
          <w:rFonts w:hint="eastAsia" w:asciiTheme="minorEastAsia" w:hAnsiTheme="minorEastAsia" w:eastAsiaTheme="minorEastAsia" w:cstheme="minorEastAsia"/>
          <w:color w:val="auto"/>
          <w:kern w:val="0"/>
          <w:sz w:val="24"/>
          <w:highlight w:val="none"/>
        </w:rPr>
        <w:t>月</w:t>
      </w:r>
      <w:r>
        <w:rPr>
          <w:rFonts w:hint="eastAsia" w:asciiTheme="minorEastAsia" w:hAnsiTheme="minorEastAsia" w:eastAsiaTheme="minorEastAsia" w:cstheme="minorEastAsia"/>
          <w:color w:val="auto"/>
          <w:kern w:val="0"/>
          <w:sz w:val="24"/>
          <w:highlight w:val="none"/>
          <w:lang w:val="en-US" w:eastAsia="zh-CN"/>
        </w:rPr>
        <w:t>7</w:t>
      </w:r>
      <w:r>
        <w:rPr>
          <w:rFonts w:hint="eastAsia" w:asciiTheme="minorEastAsia" w:hAnsiTheme="minorEastAsia" w:eastAsiaTheme="minorEastAsia" w:cstheme="minorEastAsia"/>
          <w:color w:val="auto"/>
          <w:kern w:val="0"/>
          <w:sz w:val="24"/>
          <w:highlight w:val="none"/>
        </w:rPr>
        <w:t>日</w:t>
      </w:r>
    </w:p>
    <w:p w14:paraId="4AB1E88F">
      <w:pPr>
        <w:pStyle w:val="33"/>
        <w:spacing w:before="120" w:beforeLines="50" w:after="120" w:afterLines="50" w:line="56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br w:type="page"/>
      </w:r>
      <w:bookmarkStart w:id="2" w:name="_Toc533314945"/>
      <w:bookmarkStart w:id="3" w:name="_Toc18671550"/>
      <w:bookmarkStart w:id="4" w:name="_Toc25424"/>
      <w:r>
        <w:rPr>
          <w:rStyle w:val="39"/>
          <w:rFonts w:hint="eastAsia" w:ascii="宋体" w:hAnsi="宋体" w:eastAsia="宋体" w:cs="宋体"/>
          <w:b/>
          <w:color w:val="auto"/>
          <w:sz w:val="24"/>
          <w:szCs w:val="24"/>
          <w:highlight w:val="none"/>
        </w:rPr>
        <w:t xml:space="preserve">第二章  </w:t>
      </w:r>
      <w:bookmarkEnd w:id="2"/>
      <w:bookmarkStart w:id="5" w:name="_Toc272163828"/>
      <w:bookmarkStart w:id="6" w:name="_Toc533314946"/>
      <w:r>
        <w:rPr>
          <w:rStyle w:val="39"/>
          <w:rFonts w:hint="eastAsia" w:ascii="宋体" w:hAnsi="宋体" w:eastAsia="宋体" w:cs="宋体"/>
          <w:b/>
          <w:color w:val="auto"/>
          <w:sz w:val="24"/>
          <w:szCs w:val="24"/>
          <w:highlight w:val="none"/>
        </w:rPr>
        <w:t>供应商须知前附表</w:t>
      </w:r>
      <w:bookmarkEnd w:id="3"/>
      <w:bookmarkEnd w:id="4"/>
    </w:p>
    <w:bookmarkEnd w:id="5"/>
    <w:bookmarkEnd w:id="6"/>
    <w:tbl>
      <w:tblPr>
        <w:tblStyle w:val="16"/>
        <w:tblW w:w="90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710"/>
        <w:gridCol w:w="1237"/>
        <w:gridCol w:w="7132"/>
      </w:tblGrid>
      <w:tr w14:paraId="735670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486" w:hRule="atLeast"/>
          <w:jc w:val="center"/>
        </w:trPr>
        <w:tc>
          <w:tcPr>
            <w:tcW w:w="710" w:type="dxa"/>
            <w:vAlign w:val="center"/>
          </w:tcPr>
          <w:p w14:paraId="743F9B6C">
            <w:pPr>
              <w:spacing w:line="48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8369" w:type="dxa"/>
            <w:gridSpan w:val="2"/>
            <w:vAlign w:val="center"/>
          </w:tcPr>
          <w:p w14:paraId="12E77D3F">
            <w:pPr>
              <w:spacing w:line="48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内      容</w:t>
            </w:r>
          </w:p>
        </w:tc>
      </w:tr>
      <w:tr w14:paraId="5CE384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1253" w:hRule="atLeast"/>
          <w:jc w:val="center"/>
        </w:trPr>
        <w:tc>
          <w:tcPr>
            <w:tcW w:w="710" w:type="dxa"/>
            <w:vAlign w:val="center"/>
          </w:tcPr>
          <w:p w14:paraId="1043C63F">
            <w:pPr>
              <w:spacing w:line="48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8369" w:type="dxa"/>
            <w:gridSpan w:val="2"/>
            <w:vAlign w:val="center"/>
          </w:tcPr>
          <w:p w14:paraId="12F3C953">
            <w:pPr>
              <w:keepNext w:val="0"/>
              <w:keepLines w:val="0"/>
              <w:pageBreakBefore w:val="0"/>
              <w:widowControl w:val="0"/>
              <w:kinsoku/>
              <w:wordWrap w:val="0"/>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lang w:eastAsia="zh-CN"/>
              </w:rPr>
              <w:t>六安市叶集区人民医院(六安市第六人民医院)全国严重创伤救治信息交互联动系统服务采购项目</w:t>
            </w:r>
          </w:p>
          <w:p w14:paraId="53592E9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项目编号：LASYJQRMYY-XXK2026-1</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p>
        </w:tc>
      </w:tr>
      <w:tr w14:paraId="1E4DFA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1253" w:hRule="atLeast"/>
          <w:jc w:val="center"/>
        </w:trPr>
        <w:tc>
          <w:tcPr>
            <w:tcW w:w="710" w:type="dxa"/>
            <w:vAlign w:val="center"/>
          </w:tcPr>
          <w:p w14:paraId="447C16B6">
            <w:pPr>
              <w:spacing w:line="48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8369" w:type="dxa"/>
            <w:gridSpan w:val="2"/>
            <w:vAlign w:val="center"/>
          </w:tcPr>
          <w:p w14:paraId="0E6EA87F">
            <w:pPr>
              <w:spacing w:line="480" w:lineRule="exac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bCs/>
                <w:color w:val="auto"/>
                <w:sz w:val="24"/>
                <w:highlight w:val="none"/>
              </w:rPr>
              <w:t>采购人名称：</w:t>
            </w:r>
            <w:r>
              <w:rPr>
                <w:rFonts w:hint="eastAsia" w:asciiTheme="minorEastAsia" w:hAnsiTheme="minorEastAsia" w:eastAsiaTheme="minorEastAsia" w:cstheme="minorEastAsia"/>
                <w:bCs/>
                <w:color w:val="auto"/>
                <w:sz w:val="24"/>
                <w:highlight w:val="none"/>
                <w:lang w:val="en-US" w:eastAsia="zh-CN"/>
              </w:rPr>
              <w:t>六安市叶集区人民医院（六安市第六人民医院）</w:t>
            </w:r>
          </w:p>
          <w:p w14:paraId="4C1E9F1E">
            <w:pPr>
              <w:spacing w:line="480" w:lineRule="exact"/>
              <w:rPr>
                <w:rFonts w:ascii="宋体" w:hAnsi="宋体" w:cs="宋体"/>
                <w:color w:val="auto"/>
                <w:sz w:val="24"/>
                <w:highlight w:val="none"/>
              </w:rPr>
            </w:pPr>
            <w:r>
              <w:rPr>
                <w:rFonts w:hint="eastAsia" w:asciiTheme="minorEastAsia" w:hAnsiTheme="minorEastAsia" w:eastAsiaTheme="minorEastAsia" w:cstheme="minorEastAsia"/>
                <w:color w:val="auto"/>
                <w:sz w:val="24"/>
                <w:highlight w:val="none"/>
              </w:rPr>
              <w:t>地      址：六安市叶集区兴叶大道与民强北路交叉口</w:t>
            </w:r>
            <w:r>
              <w:rPr>
                <w:rFonts w:hint="eastAsia" w:ascii="宋体" w:hAnsi="宋体" w:cs="宋体"/>
                <w:color w:val="auto"/>
                <w:sz w:val="24"/>
                <w:highlight w:val="none"/>
              </w:rPr>
              <w:t xml:space="preserve">       </w:t>
            </w:r>
          </w:p>
          <w:p w14:paraId="20417A1B">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联 系 方式：0564-6488599  </w:t>
            </w:r>
          </w:p>
        </w:tc>
      </w:tr>
      <w:tr w14:paraId="47A08D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1406" w:hRule="atLeast"/>
          <w:jc w:val="center"/>
        </w:trPr>
        <w:tc>
          <w:tcPr>
            <w:tcW w:w="710" w:type="dxa"/>
            <w:vAlign w:val="center"/>
          </w:tcPr>
          <w:p w14:paraId="4F0340FC">
            <w:pPr>
              <w:spacing w:line="48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8369" w:type="dxa"/>
            <w:gridSpan w:val="2"/>
            <w:vAlign w:val="center"/>
          </w:tcPr>
          <w:p w14:paraId="2A2CE519">
            <w:pPr>
              <w:spacing w:line="480" w:lineRule="exac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代理机构名称：安徽同方工程咨询有限公司</w:t>
            </w:r>
            <w:r>
              <w:rPr>
                <w:rFonts w:asciiTheme="minorEastAsia" w:hAnsiTheme="minorEastAsia" w:eastAsiaTheme="minorEastAsia" w:cstheme="minorEastAsia"/>
                <w:bCs/>
                <w:color w:val="auto"/>
                <w:sz w:val="24"/>
                <w:highlight w:val="none"/>
              </w:rPr>
              <w:t xml:space="preserve"> </w:t>
            </w:r>
          </w:p>
          <w:p w14:paraId="4C501065">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址：六安市东城路上东阳光城6号楼5楼</w:t>
            </w:r>
            <w:r>
              <w:rPr>
                <w:rFonts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 xml:space="preserve">          </w:t>
            </w:r>
          </w:p>
          <w:p w14:paraId="51A74CE0">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 系 方 式：0564-3284233</w:t>
            </w:r>
          </w:p>
        </w:tc>
      </w:tr>
      <w:tr w14:paraId="739C02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73" w:hRule="atLeast"/>
          <w:jc w:val="center"/>
        </w:trPr>
        <w:tc>
          <w:tcPr>
            <w:tcW w:w="710" w:type="dxa"/>
            <w:vAlign w:val="center"/>
          </w:tcPr>
          <w:p w14:paraId="7F68A093">
            <w:pPr>
              <w:spacing w:line="480" w:lineRule="exact"/>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4</w:t>
            </w:r>
          </w:p>
        </w:tc>
        <w:tc>
          <w:tcPr>
            <w:tcW w:w="8369" w:type="dxa"/>
            <w:gridSpan w:val="2"/>
            <w:vAlign w:val="center"/>
          </w:tcPr>
          <w:p w14:paraId="4CE04B4F">
            <w:pPr>
              <w:spacing w:line="480" w:lineRule="exac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项目类别：服务类</w:t>
            </w:r>
          </w:p>
        </w:tc>
      </w:tr>
      <w:tr w14:paraId="3025D9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603" w:hRule="atLeast"/>
          <w:jc w:val="center"/>
        </w:trPr>
        <w:tc>
          <w:tcPr>
            <w:tcW w:w="710" w:type="dxa"/>
            <w:vAlign w:val="center"/>
          </w:tcPr>
          <w:p w14:paraId="7AF3C028">
            <w:pPr>
              <w:spacing w:line="480" w:lineRule="exact"/>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8369" w:type="dxa"/>
            <w:gridSpan w:val="2"/>
            <w:vAlign w:val="center"/>
          </w:tcPr>
          <w:p w14:paraId="57DE60E6">
            <w:pPr>
              <w:spacing w:line="480" w:lineRule="exact"/>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服务时限：</w:t>
            </w:r>
            <w:r>
              <w:rPr>
                <w:rFonts w:hint="eastAsia" w:asciiTheme="minorEastAsia" w:hAnsiTheme="minorEastAsia" w:eastAsiaTheme="minorEastAsia" w:cstheme="minorEastAsia"/>
                <w:color w:val="auto"/>
                <w:sz w:val="24"/>
                <w:highlight w:val="none"/>
                <w:lang w:val="en-US" w:eastAsia="zh-CN"/>
              </w:rPr>
              <w:t>三年</w:t>
            </w:r>
          </w:p>
        </w:tc>
      </w:tr>
      <w:tr w14:paraId="514B80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75" w:hRule="atLeast"/>
          <w:jc w:val="center"/>
        </w:trPr>
        <w:tc>
          <w:tcPr>
            <w:tcW w:w="710" w:type="dxa"/>
            <w:vAlign w:val="center"/>
          </w:tcPr>
          <w:p w14:paraId="293D4C06">
            <w:pPr>
              <w:spacing w:line="480" w:lineRule="exact"/>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6</w:t>
            </w:r>
          </w:p>
        </w:tc>
        <w:tc>
          <w:tcPr>
            <w:tcW w:w="1237" w:type="dxa"/>
            <w:vAlign w:val="center"/>
          </w:tcPr>
          <w:p w14:paraId="3FA36092">
            <w:pPr>
              <w:spacing w:line="480" w:lineRule="exact"/>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付款方式：</w:t>
            </w:r>
          </w:p>
        </w:tc>
        <w:tc>
          <w:tcPr>
            <w:tcW w:w="7132" w:type="dxa"/>
            <w:vAlign w:val="center"/>
          </w:tcPr>
          <w:p w14:paraId="1351ECA8">
            <w:pPr>
              <w:spacing w:line="480" w:lineRule="exact"/>
              <w:ind w:firstLine="480"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lang w:val="en-US" w:eastAsia="zh-CN"/>
              </w:rPr>
              <w:t>成交供应商完成全部服务内容并经采购人最终验收合格后，采购人一次性支付合同总金额的100%。</w:t>
            </w:r>
            <w:r>
              <w:rPr>
                <w:rFonts w:hint="eastAsia" w:asciiTheme="minorEastAsia" w:hAnsiTheme="minorEastAsia" w:eastAsiaTheme="minorEastAsia" w:cstheme="minorEastAsia"/>
                <w:color w:val="auto"/>
                <w:sz w:val="24"/>
                <w:highlight w:val="none"/>
                <w:lang w:val="en-US" w:eastAsia="zh-CN"/>
              </w:rPr>
              <w:br w:type="textWrapping"/>
            </w:r>
            <w:r>
              <w:rPr>
                <w:rFonts w:hint="eastAsia" w:asciiTheme="minorEastAsia" w:hAnsiTheme="minorEastAsia" w:eastAsiaTheme="minorEastAsia" w:cstheme="minorEastAsia"/>
                <w:b/>
                <w:bCs/>
                <w:color w:val="auto"/>
                <w:sz w:val="24"/>
                <w:highlight w:val="none"/>
              </w:rPr>
              <w:t>（供应商提交的响应文件中如有关于付款条件的表述与单一来源文</w:t>
            </w:r>
          </w:p>
          <w:p w14:paraId="57E3D45D">
            <w:pPr>
              <w:spacing w:line="480" w:lineRule="exact"/>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件规定不符，将被视为实质性不响应，将导致响应无效）</w:t>
            </w:r>
          </w:p>
        </w:tc>
      </w:tr>
      <w:tr w14:paraId="0F9828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61" w:hRule="atLeast"/>
          <w:jc w:val="center"/>
        </w:trPr>
        <w:tc>
          <w:tcPr>
            <w:tcW w:w="710" w:type="dxa"/>
            <w:vAlign w:val="center"/>
          </w:tcPr>
          <w:p w14:paraId="5A9214C0">
            <w:pPr>
              <w:spacing w:line="480" w:lineRule="exact"/>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7</w:t>
            </w:r>
          </w:p>
        </w:tc>
        <w:tc>
          <w:tcPr>
            <w:tcW w:w="8369" w:type="dxa"/>
            <w:gridSpan w:val="2"/>
            <w:vAlign w:val="center"/>
          </w:tcPr>
          <w:p w14:paraId="39E9349A">
            <w:pPr>
              <w:spacing w:line="480" w:lineRule="exact"/>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响应有效期：公示结束60日内。</w:t>
            </w:r>
          </w:p>
        </w:tc>
      </w:tr>
      <w:tr w14:paraId="0893CF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793" w:hRule="atLeast"/>
          <w:jc w:val="center"/>
        </w:trPr>
        <w:tc>
          <w:tcPr>
            <w:tcW w:w="710" w:type="dxa"/>
            <w:vAlign w:val="center"/>
          </w:tcPr>
          <w:p w14:paraId="419C3900">
            <w:pPr>
              <w:spacing w:line="480" w:lineRule="exact"/>
              <w:jc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8369" w:type="dxa"/>
            <w:gridSpan w:val="2"/>
            <w:vAlign w:val="center"/>
          </w:tcPr>
          <w:p w14:paraId="626CE276">
            <w:pPr>
              <w:spacing w:line="480" w:lineRule="exact"/>
              <w:rPr>
                <w:rFonts w:hint="eastAsia" w:eastAsia="宋体" w:asciiTheme="minorEastAsia" w:hAnsi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勘察现场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 xml:space="preserve">请各供应商联系采购单位自行勘踏。 </w:t>
            </w:r>
          </w:p>
        </w:tc>
      </w:tr>
      <w:tr w14:paraId="15BD9C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793" w:hRule="atLeast"/>
          <w:jc w:val="center"/>
        </w:trPr>
        <w:tc>
          <w:tcPr>
            <w:tcW w:w="710" w:type="dxa"/>
            <w:vAlign w:val="center"/>
          </w:tcPr>
          <w:p w14:paraId="0A8C2786">
            <w:pPr>
              <w:spacing w:line="480" w:lineRule="exact"/>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9</w:t>
            </w:r>
          </w:p>
        </w:tc>
        <w:tc>
          <w:tcPr>
            <w:tcW w:w="8369" w:type="dxa"/>
            <w:gridSpan w:val="2"/>
            <w:vAlign w:val="center"/>
          </w:tcPr>
          <w:p w14:paraId="631F9E6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单一来源采购响应文件份数及要求：正本1份、副本</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份，胶装成册、密封提交。</w:t>
            </w:r>
          </w:p>
        </w:tc>
      </w:tr>
      <w:tr w14:paraId="0A12C5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793" w:hRule="atLeast"/>
          <w:jc w:val="center"/>
        </w:trPr>
        <w:tc>
          <w:tcPr>
            <w:tcW w:w="710" w:type="dxa"/>
            <w:vAlign w:val="center"/>
          </w:tcPr>
          <w:p w14:paraId="157459A9">
            <w:pPr>
              <w:spacing w:line="480" w:lineRule="exact"/>
              <w:jc w:val="center"/>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w:t>
            </w:r>
          </w:p>
        </w:tc>
        <w:tc>
          <w:tcPr>
            <w:tcW w:w="8369" w:type="dxa"/>
            <w:gridSpan w:val="2"/>
            <w:vAlign w:val="center"/>
          </w:tcPr>
          <w:p w14:paraId="1E3B736D">
            <w:pPr>
              <w:pStyle w:val="37"/>
              <w:pBdr>
                <w:bottom w:val="none" w:color="auto" w:sz="0" w:space="0"/>
              </w:pBdr>
              <w:tabs>
                <w:tab w:val="left" w:pos="420"/>
              </w:tabs>
              <w:adjustRightInd/>
              <w:spacing w:line="460" w:lineRule="exact"/>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质疑与答疑：1、供应商如果对采购文件内容有相关疑问，可以发邮件向采购代理机构提出（疑问文件以文档形式提供，如WORD文档等）。代理机构邮箱地址为1610920774@qq.com；</w:t>
            </w:r>
          </w:p>
          <w:p w14:paraId="65216E23">
            <w:pPr>
              <w:spacing w:line="480" w:lineRule="exact"/>
              <w:rPr>
                <w:rFonts w:hint="eastAsia" w:eastAsia="宋体" w:asciiTheme="minorEastAsia" w:hAnsiTheme="minorEastAsia" w:cstheme="minorEastAsia"/>
                <w:color w:val="auto"/>
                <w:sz w:val="24"/>
                <w:highlight w:val="none"/>
                <w:lang w:eastAsia="zh-CN"/>
              </w:rPr>
            </w:pPr>
            <w:r>
              <w:rPr>
                <w:rFonts w:hint="eastAsia" w:asciiTheme="minorEastAsia" w:hAnsiTheme="minorEastAsia" w:eastAsiaTheme="minorEastAsia" w:cstheme="minorEastAsia"/>
                <w:color w:val="auto"/>
                <w:kern w:val="2"/>
                <w:sz w:val="24"/>
                <w:szCs w:val="24"/>
                <w:highlight w:val="none"/>
                <w:lang w:val="en-US" w:eastAsia="zh-CN" w:bidi="ar-SA"/>
              </w:rPr>
              <w:t>2、提交成功后疑问文件即传至采购人（采购代理机构），后续答疑以书面形式通知。</w:t>
            </w:r>
          </w:p>
        </w:tc>
      </w:tr>
      <w:tr w14:paraId="181C67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1364" w:hRule="atLeast"/>
          <w:jc w:val="center"/>
        </w:trPr>
        <w:tc>
          <w:tcPr>
            <w:tcW w:w="710" w:type="dxa"/>
            <w:vAlign w:val="center"/>
          </w:tcPr>
          <w:p w14:paraId="5E37E1C8">
            <w:pPr>
              <w:spacing w:line="480" w:lineRule="exact"/>
              <w:jc w:val="center"/>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11</w:t>
            </w:r>
          </w:p>
        </w:tc>
        <w:tc>
          <w:tcPr>
            <w:tcW w:w="8369" w:type="dxa"/>
            <w:gridSpan w:val="2"/>
            <w:vAlign w:val="center"/>
          </w:tcPr>
          <w:p w14:paraId="51FB7456">
            <w:pPr>
              <w:spacing w:line="480" w:lineRule="exac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协商时间及方式：</w:t>
            </w:r>
          </w:p>
          <w:p w14:paraId="58F4F627">
            <w:pPr>
              <w:spacing w:line="480" w:lineRule="exact"/>
              <w:rPr>
                <w:rFonts w:hint="default"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bCs/>
                <w:color w:val="auto"/>
                <w:sz w:val="24"/>
                <w:highlight w:val="none"/>
              </w:rPr>
              <w:t>1、协商时间：</w:t>
            </w:r>
            <w:r>
              <w:rPr>
                <w:rFonts w:hint="eastAsia" w:asciiTheme="minorEastAsia" w:hAnsiTheme="minorEastAsia" w:eastAsiaTheme="minorEastAsia" w:cstheme="minorEastAsia"/>
                <w:bCs/>
                <w:color w:val="auto"/>
                <w:sz w:val="24"/>
                <w:highlight w:val="none"/>
                <w:lang w:val="en-US" w:eastAsia="zh-CN"/>
              </w:rPr>
              <w:t>同公告截止时间。</w:t>
            </w:r>
          </w:p>
          <w:p w14:paraId="3693FFCA">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highlight w:val="none"/>
              </w:rPr>
              <w:t>2、协商方式：</w:t>
            </w:r>
            <w:r>
              <w:rPr>
                <w:rFonts w:hint="eastAsia" w:asciiTheme="minorEastAsia" w:hAnsiTheme="minorEastAsia" w:eastAsiaTheme="minorEastAsia" w:cstheme="minorEastAsia"/>
                <w:bCs/>
                <w:color w:val="auto"/>
                <w:sz w:val="24"/>
                <w:highlight w:val="none"/>
                <w:lang w:val="en-US" w:eastAsia="zh-CN"/>
              </w:rPr>
              <w:t>现场</w:t>
            </w:r>
            <w:r>
              <w:rPr>
                <w:rFonts w:hint="eastAsia" w:asciiTheme="minorEastAsia" w:hAnsiTheme="minorEastAsia" w:eastAsiaTheme="minorEastAsia" w:cstheme="minorEastAsia"/>
                <w:bCs/>
                <w:color w:val="auto"/>
                <w:sz w:val="24"/>
                <w:highlight w:val="none"/>
              </w:rPr>
              <w:t>协商</w:t>
            </w:r>
          </w:p>
        </w:tc>
      </w:tr>
      <w:tr w14:paraId="740672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79" w:hRule="atLeast"/>
          <w:jc w:val="center"/>
        </w:trPr>
        <w:tc>
          <w:tcPr>
            <w:tcW w:w="710" w:type="dxa"/>
            <w:vAlign w:val="center"/>
          </w:tcPr>
          <w:p w14:paraId="142AE3EE">
            <w:pPr>
              <w:spacing w:line="480" w:lineRule="exact"/>
              <w:jc w:val="center"/>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12</w:t>
            </w:r>
          </w:p>
        </w:tc>
        <w:tc>
          <w:tcPr>
            <w:tcW w:w="8369" w:type="dxa"/>
            <w:gridSpan w:val="2"/>
            <w:vAlign w:val="center"/>
          </w:tcPr>
          <w:p w14:paraId="1CBB4D0E">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响应文件递交截止时间：同本项目协商时间。</w:t>
            </w:r>
          </w:p>
        </w:tc>
      </w:tr>
      <w:tr w14:paraId="36B78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79" w:hRule="atLeast"/>
          <w:jc w:val="center"/>
        </w:trPr>
        <w:tc>
          <w:tcPr>
            <w:tcW w:w="710" w:type="dxa"/>
            <w:vAlign w:val="center"/>
          </w:tcPr>
          <w:p w14:paraId="1FB518C4">
            <w:pPr>
              <w:spacing w:line="480" w:lineRule="exact"/>
              <w:jc w:val="center"/>
              <w:rPr>
                <w:rFonts w:hint="default" w:asciiTheme="minorEastAsia" w:hAnsiTheme="minorEastAsia" w:eastAsiaTheme="minorEastAsia" w:cstheme="minorEastAsia"/>
                <w:color w:val="auto"/>
                <w:sz w:val="24"/>
                <w:highlight w:val="none"/>
                <w:lang w:val="en-US" w:eastAsia="zh-CN"/>
              </w:rPr>
            </w:pPr>
            <w:bookmarkStart w:id="7" w:name="_Hlk450145192"/>
            <w:r>
              <w:rPr>
                <w:rFonts w:hint="eastAsia" w:asciiTheme="minorEastAsia" w:hAnsiTheme="minorEastAsia" w:eastAsiaTheme="minorEastAsia" w:cstheme="minorEastAsia"/>
                <w:color w:val="auto"/>
                <w:sz w:val="24"/>
                <w:highlight w:val="none"/>
                <w:lang w:val="en-US" w:eastAsia="zh-CN"/>
              </w:rPr>
              <w:t>13</w:t>
            </w:r>
          </w:p>
        </w:tc>
        <w:tc>
          <w:tcPr>
            <w:tcW w:w="8369" w:type="dxa"/>
            <w:gridSpan w:val="2"/>
            <w:vAlign w:val="center"/>
          </w:tcPr>
          <w:p w14:paraId="1F870461">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1、存在以下不良信用记录情形之一的，不得推荐为成交候选供应商：</w:t>
            </w:r>
          </w:p>
          <w:p w14:paraId="1E5940AF">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（1）供应商被人民法院列入失信被执行人的；</w:t>
            </w:r>
          </w:p>
          <w:p w14:paraId="179AB79B">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（2）供应商被市场监督管理部门列入严重违法失信企业名录；</w:t>
            </w:r>
          </w:p>
          <w:p w14:paraId="335D19C8">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（3）供应商被税务部门列入重大税收违法案件当事人名单的；</w:t>
            </w:r>
          </w:p>
          <w:p w14:paraId="0E49701A">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（4）供应商被政府采购监管部门列入政府采购严重违法失信行为记录名单的。</w:t>
            </w:r>
          </w:p>
          <w:p w14:paraId="75A370AA">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2、联合体供应商，联合体任何一方存在上述不良信用记录的，视同联合体存在不良信用记录。</w:t>
            </w:r>
          </w:p>
          <w:p w14:paraId="45E2D536">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3、不良信用记录查询渠道如下：</w:t>
            </w:r>
          </w:p>
          <w:p w14:paraId="23EA9737">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（1）失信被执行人：信用中国官网（www.creditchina.gov.cn）</w:t>
            </w:r>
          </w:p>
          <w:p w14:paraId="1164A852">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（2）企业经营异常名录：信用中国官网（www.creditchina.gov.cn）</w:t>
            </w:r>
          </w:p>
          <w:p w14:paraId="33F52806">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（3）重大税收违法案件当事人名单：信用中国官网（www.creditchina.gov.cn）</w:t>
            </w:r>
          </w:p>
          <w:p w14:paraId="078FE14F">
            <w:pPr>
              <w:pStyle w:val="37"/>
              <w:pBdr>
                <w:bottom w:val="none" w:color="auto" w:sz="0" w:space="0"/>
              </w:pBdr>
              <w:tabs>
                <w:tab w:val="clear" w:pos="4153"/>
                <w:tab w:val="clear" w:pos="8306"/>
              </w:tabs>
              <w:adjustRightInd/>
              <w:spacing w:line="460" w:lineRule="exact"/>
              <w:jc w:val="left"/>
              <w:textAlignment w:val="auto"/>
              <w:rPr>
                <w:rFonts w:ascii="宋体" w:hAnsi="宋体"/>
                <w:bCs/>
                <w:kern w:val="2"/>
                <w:szCs w:val="24"/>
                <w:highlight w:val="none"/>
              </w:rPr>
            </w:pPr>
            <w:r>
              <w:rPr>
                <w:rFonts w:hint="eastAsia" w:ascii="宋体" w:hAnsi="宋体"/>
                <w:bCs/>
                <w:kern w:val="2"/>
                <w:szCs w:val="24"/>
                <w:highlight w:val="none"/>
              </w:rPr>
              <w:t>（4）政府采购严重违法失信行为记录名单：中国政府采购官网（www.ccgp.gov.cn）</w:t>
            </w:r>
          </w:p>
          <w:p w14:paraId="08941F0E">
            <w:pPr>
              <w:pStyle w:val="37"/>
              <w:pBdr>
                <w:bottom w:val="none" w:color="auto" w:sz="0" w:space="0"/>
              </w:pBdr>
              <w:tabs>
                <w:tab w:val="clear" w:pos="4153"/>
                <w:tab w:val="clear" w:pos="8306"/>
              </w:tabs>
              <w:adjustRightInd/>
              <w:spacing w:line="460" w:lineRule="exact"/>
              <w:jc w:val="left"/>
              <w:textAlignment w:val="auto"/>
              <w:rPr>
                <w:rFonts w:asciiTheme="minorEastAsia" w:hAnsiTheme="minorEastAsia" w:eastAsiaTheme="minorEastAsia" w:cstheme="minorEastAsia"/>
                <w:color w:val="auto"/>
                <w:sz w:val="24"/>
                <w:highlight w:val="none"/>
              </w:rPr>
            </w:pPr>
            <w:r>
              <w:rPr>
                <w:rFonts w:hint="eastAsia" w:ascii="宋体" w:hAnsi="宋体" w:cs="Times New Roman"/>
                <w:bCs/>
                <w:kern w:val="2"/>
                <w:szCs w:val="24"/>
                <w:highlight w:val="none"/>
              </w:rPr>
              <w:t>特别提醒：供应商参与</w:t>
            </w:r>
            <w:r>
              <w:rPr>
                <w:rFonts w:hint="eastAsia" w:ascii="宋体" w:hAnsi="宋体" w:cs="Times New Roman"/>
                <w:bCs/>
                <w:kern w:val="2"/>
                <w:szCs w:val="24"/>
                <w:highlight w:val="none"/>
                <w:lang w:val="en-US" w:eastAsia="zh-CN"/>
              </w:rPr>
              <w:t>采购活动</w:t>
            </w:r>
            <w:r>
              <w:rPr>
                <w:rFonts w:hint="eastAsia" w:ascii="宋体" w:hAnsi="宋体" w:cs="Times New Roman"/>
                <w:bCs/>
                <w:kern w:val="2"/>
                <w:szCs w:val="24"/>
                <w:highlight w:val="none"/>
              </w:rPr>
              <w:t>，应当诚信守法、公平竞争。如有以提供虚假材料（包括但不限于虚假技术参数响应、虚假业绩、虚假证书、虚假检测报告等）、串通投标、隐瞒失信信息等谋取中标的行为，一经发现，将报</w:t>
            </w:r>
            <w:r>
              <w:rPr>
                <w:rFonts w:hint="eastAsia" w:ascii="宋体" w:hAnsi="宋体" w:cs="Times New Roman"/>
                <w:bCs/>
                <w:kern w:val="2"/>
                <w:szCs w:val="24"/>
                <w:highlight w:val="none"/>
                <w:lang w:val="en-US"/>
              </w:rPr>
              <w:t>相关</w:t>
            </w:r>
            <w:r>
              <w:rPr>
                <w:rFonts w:hint="eastAsia" w:ascii="宋体" w:hAnsi="宋体" w:cs="Times New Roman"/>
                <w:bCs/>
                <w:kern w:val="2"/>
                <w:szCs w:val="24"/>
                <w:highlight w:val="none"/>
              </w:rPr>
              <w:t>监管部门严肃查处。</w:t>
            </w:r>
          </w:p>
        </w:tc>
      </w:tr>
      <w:tr w14:paraId="6A5216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579" w:hRule="atLeast"/>
          <w:jc w:val="center"/>
        </w:trPr>
        <w:tc>
          <w:tcPr>
            <w:tcW w:w="710" w:type="dxa"/>
            <w:vAlign w:val="center"/>
          </w:tcPr>
          <w:p w14:paraId="4A6E9747">
            <w:pPr>
              <w:spacing w:line="480" w:lineRule="exact"/>
              <w:jc w:val="center"/>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14</w:t>
            </w:r>
          </w:p>
        </w:tc>
        <w:tc>
          <w:tcPr>
            <w:tcW w:w="8369" w:type="dxa"/>
            <w:gridSpan w:val="2"/>
            <w:vAlign w:val="center"/>
          </w:tcPr>
          <w:p w14:paraId="73EA243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highlight w:val="none"/>
              </w:rPr>
              <w:t>递交响应文件注意事项：响应文件必须在询价截止时间前递交。</w:t>
            </w:r>
          </w:p>
        </w:tc>
      </w:tr>
      <w:tr w14:paraId="047A98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1" w:type="dxa"/>
            <w:bottom w:w="0" w:type="dxa"/>
            <w:right w:w="51" w:type="dxa"/>
          </w:tblCellMar>
        </w:tblPrEx>
        <w:trPr>
          <w:trHeight w:val="1284" w:hRule="atLeast"/>
          <w:jc w:val="center"/>
        </w:trPr>
        <w:tc>
          <w:tcPr>
            <w:tcW w:w="710" w:type="dxa"/>
            <w:vAlign w:val="center"/>
          </w:tcPr>
          <w:p w14:paraId="14CA075D">
            <w:pPr>
              <w:tabs>
                <w:tab w:val="left" w:pos="441"/>
              </w:tabs>
              <w:spacing w:line="480" w:lineRule="exact"/>
              <w:jc w:val="center"/>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15</w:t>
            </w:r>
          </w:p>
        </w:tc>
        <w:tc>
          <w:tcPr>
            <w:tcW w:w="8369" w:type="dxa"/>
            <w:gridSpan w:val="2"/>
            <w:vAlign w:val="center"/>
          </w:tcPr>
          <w:p w14:paraId="66BD8A8F">
            <w:pPr>
              <w:spacing w:line="5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1、支付方</w:t>
            </w:r>
            <w:r>
              <w:rPr>
                <w:rFonts w:hint="eastAsia" w:ascii="宋体" w:hAnsi="宋体" w:eastAsia="宋体" w:cs="宋体"/>
                <w:b w:val="0"/>
                <w:bCs w:val="0"/>
                <w:color w:val="auto"/>
                <w:sz w:val="24"/>
                <w:highlight w:val="none"/>
                <w:lang w:val="en-US" w:eastAsia="zh-CN"/>
              </w:rPr>
              <w:t>：</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 xml:space="preserve">采购人  </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成交供应商</w:t>
            </w:r>
          </w:p>
          <w:p w14:paraId="4D5863D8">
            <w:pPr>
              <w:spacing w:line="500" w:lineRule="exact"/>
              <w:jc w:val="left"/>
              <w:rPr>
                <w:rFonts w:hint="default"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2、收费标准：</w:t>
            </w:r>
            <w:r>
              <w:rPr>
                <w:rFonts w:hint="eastAsia" w:ascii="宋体" w:hAnsi="宋体" w:cs="宋体"/>
                <w:b w:val="0"/>
                <w:bCs w:val="0"/>
                <w:color w:val="auto"/>
                <w:sz w:val="24"/>
                <w:highlight w:val="none"/>
                <w:lang w:val="en-US" w:eastAsia="zh-CN"/>
              </w:rPr>
              <w:t>本项目为固定收费4500.00元。</w:t>
            </w:r>
          </w:p>
          <w:p w14:paraId="596CB9ED">
            <w:pPr>
              <w:spacing w:line="5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3、收取方式：</w:t>
            </w:r>
            <w:r>
              <w:rPr>
                <w:rFonts w:hint="eastAsia" w:ascii="宋体" w:hAnsi="宋体" w:eastAsia="宋体" w:cs="宋体"/>
                <w:b w:val="0"/>
                <w:bCs w:val="0"/>
                <w:color w:val="auto"/>
                <w:sz w:val="24"/>
                <w:highlight w:val="none"/>
                <w:lang w:val="en-US" w:eastAsia="zh-CN"/>
              </w:rPr>
              <w:t>银行转账。</w:t>
            </w:r>
          </w:p>
          <w:p w14:paraId="502FCFCD">
            <w:pPr>
              <w:spacing w:line="500" w:lineRule="exact"/>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4、代理服务费缴纳账户：</w:t>
            </w:r>
          </w:p>
          <w:p w14:paraId="60E8EE0A">
            <w:pPr>
              <w:spacing w:line="5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户名：安徽同方工程咨询有限公司 </w:t>
            </w:r>
          </w:p>
          <w:p w14:paraId="14D27D74">
            <w:pPr>
              <w:spacing w:line="5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开户行：徽商银行六安解放路恒源支行 </w:t>
            </w:r>
          </w:p>
          <w:p w14:paraId="2D89AF41">
            <w:pPr>
              <w:spacing w:line="5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账号：000000602003900000243</w:t>
            </w:r>
          </w:p>
          <w:p w14:paraId="2A558DB1">
            <w:pPr>
              <w:pStyle w:val="15"/>
              <w:ind w:left="0" w:leftChars="0" w:firstLine="0" w:firstLineChars="0"/>
              <w:rPr>
                <w:rFonts w:hint="eastAsia" w:ascii="Times New Roman" w:hAnsi="Times New Roman"/>
                <w:b w:val="0"/>
                <w:bCs w:val="0"/>
                <w:color w:val="auto"/>
                <w:highlight w:val="none"/>
                <w:lang w:val="en-US" w:eastAsia="zh-CN"/>
              </w:rPr>
            </w:pPr>
            <w:r>
              <w:rPr>
                <w:rFonts w:hint="eastAsia" w:ascii="宋体" w:hAnsi="宋体" w:eastAsia="宋体" w:cs="宋体"/>
                <w:b/>
                <w:bCs/>
                <w:color w:val="auto"/>
                <w:sz w:val="24"/>
                <w:highlight w:val="none"/>
                <w:lang w:val="en-US" w:eastAsia="zh-CN"/>
              </w:rPr>
              <w:t>5、代理服务费须从成交供应商账户转出，并备注项目名称。</w:t>
            </w:r>
          </w:p>
        </w:tc>
      </w:tr>
    </w:tbl>
    <w:p w14:paraId="49A2B2A6">
      <w:pPr>
        <w:pStyle w:val="33"/>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bookmarkStart w:id="8" w:name="_Toc272163829"/>
      <w:bookmarkStart w:id="9" w:name="_Toc533314947"/>
    </w:p>
    <w:p w14:paraId="7C5B3DD7">
      <w:pPr>
        <w:pStyle w:val="3"/>
        <w:spacing w:before="240" w:beforeLines="100" w:after="0" w:line="600" w:lineRule="exact"/>
        <w:jc w:val="center"/>
        <w:rPr>
          <w:rFonts w:ascii="宋体" w:hAnsi="宋体" w:eastAsia="宋体" w:cs="宋体"/>
          <w:color w:val="auto"/>
          <w:sz w:val="24"/>
          <w:szCs w:val="24"/>
          <w:highlight w:val="none"/>
        </w:rPr>
      </w:pPr>
      <w:bookmarkStart w:id="10" w:name="_Toc18671555"/>
      <w:bookmarkStart w:id="11" w:name="_Toc11917"/>
      <w:r>
        <w:rPr>
          <w:rFonts w:hint="eastAsia" w:ascii="宋体" w:hAnsi="宋体" w:eastAsia="宋体" w:cs="宋体"/>
          <w:color w:val="auto"/>
          <w:sz w:val="24"/>
          <w:szCs w:val="24"/>
          <w:highlight w:val="none"/>
        </w:rPr>
        <w:t>第三章  供应商须知</w:t>
      </w:r>
      <w:bookmarkEnd w:id="7"/>
      <w:bookmarkEnd w:id="8"/>
      <w:bookmarkEnd w:id="9"/>
      <w:bookmarkEnd w:id="10"/>
      <w:bookmarkEnd w:id="11"/>
    </w:p>
    <w:p w14:paraId="0E8C9D74">
      <w:pPr>
        <w:pStyle w:val="3"/>
        <w:spacing w:before="120" w:beforeLines="50" w:after="120" w:afterLines="50" w:line="500" w:lineRule="exact"/>
        <w:jc w:val="center"/>
        <w:rPr>
          <w:rFonts w:ascii="宋体" w:hAnsi="宋体" w:eastAsia="宋体" w:cs="宋体"/>
          <w:color w:val="auto"/>
          <w:sz w:val="24"/>
          <w:szCs w:val="24"/>
          <w:highlight w:val="none"/>
        </w:rPr>
      </w:pPr>
      <w:bookmarkStart w:id="12" w:name="_Toc2350"/>
      <w:bookmarkStart w:id="13" w:name="_Toc18671556"/>
      <w:r>
        <w:rPr>
          <w:rFonts w:hint="eastAsia" w:ascii="宋体" w:hAnsi="宋体" w:eastAsia="宋体" w:cs="宋体"/>
          <w:color w:val="auto"/>
          <w:sz w:val="24"/>
          <w:szCs w:val="24"/>
          <w:highlight w:val="none"/>
        </w:rPr>
        <w:t>一、总则</w:t>
      </w:r>
      <w:bookmarkEnd w:id="12"/>
      <w:bookmarkEnd w:id="13"/>
    </w:p>
    <w:p w14:paraId="178BFA8E">
      <w:pPr>
        <w:spacing w:line="500" w:lineRule="exact"/>
        <w:rPr>
          <w:rFonts w:asciiTheme="minorEastAsia" w:hAnsiTheme="minorEastAsia" w:eastAsiaTheme="minorEastAsia" w:cstheme="minorEastAsia"/>
          <w:b/>
          <w:color w:val="auto"/>
          <w:sz w:val="24"/>
          <w:highlight w:val="none"/>
        </w:rPr>
      </w:pPr>
      <w:bookmarkStart w:id="14" w:name="_Toc272163834"/>
      <w:bookmarkStart w:id="15" w:name="_Toc533314952"/>
      <w:r>
        <w:rPr>
          <w:rFonts w:hint="eastAsia" w:asciiTheme="minorEastAsia" w:hAnsiTheme="minorEastAsia" w:eastAsiaTheme="minorEastAsia" w:cstheme="minorEastAsia"/>
          <w:b/>
          <w:color w:val="auto"/>
          <w:sz w:val="24"/>
          <w:highlight w:val="none"/>
        </w:rPr>
        <w:t>1、适用范围</w:t>
      </w:r>
    </w:p>
    <w:p w14:paraId="0F9C6B02">
      <w:pPr>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1.1本文件是根据《中华人民共和国政府采购法》等相关法律、法规制订。</w:t>
      </w:r>
    </w:p>
    <w:p w14:paraId="3E576B2D">
      <w:pPr>
        <w:tabs>
          <w:tab w:val="left" w:pos="0"/>
        </w:tabs>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本采购文件的最终解释权归项目单位所有。</w:t>
      </w:r>
    </w:p>
    <w:p w14:paraId="5ED2870E">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2、定义</w:t>
      </w:r>
    </w:p>
    <w:p w14:paraId="457D9B6E">
      <w:pPr>
        <w:tabs>
          <w:tab w:val="left" w:pos="0"/>
        </w:tabs>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w:t>
      </w:r>
      <w:r>
        <w:rPr>
          <w:rFonts w:hint="eastAsia" w:asciiTheme="minorEastAsia" w:hAnsiTheme="minorEastAsia" w:eastAsiaTheme="minorEastAsia" w:cstheme="minorEastAsia"/>
          <w:b/>
          <w:color w:val="auto"/>
          <w:sz w:val="24"/>
          <w:highlight w:val="none"/>
        </w:rPr>
        <w:t>服务：</w:t>
      </w:r>
      <w:r>
        <w:rPr>
          <w:rFonts w:hint="eastAsia" w:asciiTheme="minorEastAsia" w:hAnsiTheme="minorEastAsia" w:eastAsiaTheme="minorEastAsia" w:cstheme="minorEastAsia"/>
          <w:color w:val="auto"/>
          <w:sz w:val="24"/>
          <w:highlight w:val="none"/>
        </w:rPr>
        <w:t>既是指本范本适用于服务采购。</w:t>
      </w:r>
    </w:p>
    <w:p w14:paraId="6D3ABDB1">
      <w:pPr>
        <w:tabs>
          <w:tab w:val="left" w:pos="0"/>
        </w:tabs>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w:t>
      </w:r>
      <w:r>
        <w:rPr>
          <w:rFonts w:hint="eastAsia" w:asciiTheme="minorEastAsia" w:hAnsiTheme="minorEastAsia" w:eastAsiaTheme="minorEastAsia" w:cstheme="minorEastAsia"/>
          <w:b/>
          <w:color w:val="auto"/>
          <w:sz w:val="24"/>
          <w:highlight w:val="none"/>
        </w:rPr>
        <w:t>采购人：</w:t>
      </w:r>
      <w:r>
        <w:rPr>
          <w:rFonts w:hint="eastAsia" w:asciiTheme="minorEastAsia" w:hAnsiTheme="minorEastAsia" w:eastAsiaTheme="minorEastAsia" w:cstheme="minorEastAsia"/>
          <w:color w:val="auto"/>
          <w:sz w:val="24"/>
          <w:highlight w:val="none"/>
        </w:rPr>
        <w:t>项目单位（采购人）的总称。</w:t>
      </w:r>
    </w:p>
    <w:p w14:paraId="0D510528">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3、供应商资格要求：</w:t>
      </w:r>
      <w:r>
        <w:rPr>
          <w:rFonts w:hint="eastAsia" w:asciiTheme="minorEastAsia" w:hAnsiTheme="minorEastAsia" w:eastAsiaTheme="minorEastAsia" w:cstheme="minorEastAsia"/>
          <w:color w:val="auto"/>
          <w:sz w:val="24"/>
          <w:highlight w:val="none"/>
        </w:rPr>
        <w:t>符合政府采购法等法律法规的相关规定。</w:t>
      </w:r>
    </w:p>
    <w:p w14:paraId="726346E7">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4、供应商参与采购活动的费用</w:t>
      </w:r>
    </w:p>
    <w:p w14:paraId="230615EE">
      <w:pPr>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4.1供应商必须自行承担所有与参加采购活动的有关费用。不论结果如何，采购人在任何情况下均无义务和责任承担这些费用。</w:t>
      </w:r>
    </w:p>
    <w:p w14:paraId="50AB5389">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5、保密</w:t>
      </w:r>
    </w:p>
    <w:p w14:paraId="2389F8CA">
      <w:pPr>
        <w:tabs>
          <w:tab w:val="left" w:pos="0"/>
        </w:tabs>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参与采购活动的各方主体应对服务类单一来源采购文件和单一来源响应文件中的商业和技术等秘密保密，违者应对由此造成的后果承担法律责任。</w:t>
      </w:r>
    </w:p>
    <w:p w14:paraId="7EE95748">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6、语言文字</w:t>
      </w:r>
    </w:p>
    <w:p w14:paraId="2E862C79">
      <w:pPr>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单一来源及其响应文件使用的语言文字</w:t>
      </w:r>
      <w:r>
        <w:rPr>
          <w:rFonts w:hint="eastAsia" w:asciiTheme="minorEastAsia" w:hAnsiTheme="minorEastAsia" w:eastAsiaTheme="minorEastAsia" w:cstheme="minorEastAsia"/>
          <w:color w:val="auto"/>
          <w:sz w:val="24"/>
          <w:highlight w:val="none"/>
          <w:lang w:eastAsia="zh-CN"/>
        </w:rPr>
        <w:t>以及</w:t>
      </w:r>
      <w:r>
        <w:rPr>
          <w:rFonts w:hint="eastAsia" w:asciiTheme="minorEastAsia" w:hAnsiTheme="minorEastAsia" w:eastAsiaTheme="minorEastAsia" w:cstheme="minorEastAsia"/>
          <w:color w:val="auto"/>
          <w:sz w:val="24"/>
          <w:highlight w:val="none"/>
        </w:rPr>
        <w:t>供应商与采购人就单一来源采购相关事项的所有往来函电均须使用简体中文（部分专用术语需使用外文的除外）。</w:t>
      </w:r>
    </w:p>
    <w:p w14:paraId="657A476D">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7、计量单位</w:t>
      </w:r>
    </w:p>
    <w:p w14:paraId="3D849DDB">
      <w:pPr>
        <w:pStyle w:val="35"/>
        <w:spacing w:line="5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所有计量均采用中华人民共和国法定计量单位。</w:t>
      </w:r>
    </w:p>
    <w:p w14:paraId="14987E1F">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8、勘察现场</w:t>
      </w:r>
    </w:p>
    <w:p w14:paraId="41D3A29D">
      <w:pPr>
        <w:tabs>
          <w:tab w:val="left" w:pos="0"/>
        </w:tabs>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采购人根据项目的具体情况，可以组织单一来源供应商现场考察。</w:t>
      </w:r>
    </w:p>
    <w:p w14:paraId="2913DB4C">
      <w:pPr>
        <w:spacing w:line="5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9、偏离</w:t>
      </w:r>
    </w:p>
    <w:p w14:paraId="3D352E8A">
      <w:pPr>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若服务类单一来源采购文件允许响应文件偏离某些要求，偏离应当符合单一来源文件规定的偏离范围和幅度。</w:t>
      </w:r>
    </w:p>
    <w:p w14:paraId="782C0B4C">
      <w:pPr>
        <w:pStyle w:val="3"/>
        <w:spacing w:before="120" w:beforeLines="50" w:after="120" w:afterLines="50" w:line="500" w:lineRule="exact"/>
        <w:jc w:val="center"/>
        <w:rPr>
          <w:rFonts w:ascii="宋体" w:hAnsi="宋体" w:eastAsia="宋体" w:cs="宋体"/>
          <w:color w:val="auto"/>
          <w:sz w:val="24"/>
          <w:szCs w:val="24"/>
          <w:highlight w:val="none"/>
        </w:rPr>
      </w:pPr>
      <w:bookmarkStart w:id="16" w:name="_Toc18671557"/>
      <w:bookmarkStart w:id="17" w:name="_Toc12653"/>
      <w:r>
        <w:rPr>
          <w:rFonts w:hint="eastAsia" w:ascii="宋体" w:hAnsi="宋体" w:eastAsia="宋体" w:cs="宋体"/>
          <w:color w:val="auto"/>
          <w:sz w:val="24"/>
          <w:szCs w:val="24"/>
          <w:highlight w:val="none"/>
        </w:rPr>
        <w:t>二、</w:t>
      </w:r>
      <w:bookmarkEnd w:id="16"/>
      <w:r>
        <w:rPr>
          <w:rFonts w:hint="eastAsia" w:ascii="宋体" w:hAnsi="宋体" w:eastAsia="宋体" w:cs="宋体"/>
          <w:color w:val="auto"/>
          <w:sz w:val="24"/>
          <w:szCs w:val="24"/>
          <w:highlight w:val="none"/>
        </w:rPr>
        <w:t>服务类单一来源采购文件</w:t>
      </w:r>
      <w:bookmarkEnd w:id="17"/>
    </w:p>
    <w:p w14:paraId="2FDC9DE4">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10采购文件构成</w:t>
      </w:r>
    </w:p>
    <w:p w14:paraId="25FECCFB">
      <w:pPr>
        <w:tabs>
          <w:tab w:val="left" w:pos="72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10.1采购文件包括：</w:t>
      </w:r>
    </w:p>
    <w:p w14:paraId="48F1EED0">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第一章  单一来源采购邀请书</w:t>
      </w:r>
    </w:p>
    <w:p w14:paraId="3DEF7208">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第二章  供应商须知前附表</w:t>
      </w:r>
    </w:p>
    <w:p w14:paraId="72E7560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第三章  供应商须知</w:t>
      </w:r>
    </w:p>
    <w:p w14:paraId="40D65848">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第四章  采购需求</w:t>
      </w:r>
    </w:p>
    <w:p w14:paraId="76739050">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第五章  单一来源响应文件</w:t>
      </w:r>
    </w:p>
    <w:p w14:paraId="45595045">
      <w:pPr>
        <w:tabs>
          <w:tab w:val="left" w:pos="72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10.2供应商应认真阅读和充分理解服务类单一来源采购文件中所有的内容。如果其单一来源响应文件没有满足服务类单一来源采购文件的有关要求，其风险由供应商自行承担。</w:t>
      </w:r>
    </w:p>
    <w:p w14:paraId="48BDD848">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11、服务类单一来源采购文件的澄清和修改</w:t>
      </w:r>
    </w:p>
    <w:p w14:paraId="71862E66">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11.1采购人认为服务类单一来源采购文件未表述清楚的，可以进行澄清并书面通知供应商。</w:t>
      </w:r>
    </w:p>
    <w:p w14:paraId="55FA9EB6">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11.2 供应商认为服务类单一来源采购文件表述不清的，可以要求采购人作出解释。 </w:t>
      </w:r>
    </w:p>
    <w:p w14:paraId="2DA40384">
      <w:pPr>
        <w:pStyle w:val="3"/>
        <w:spacing w:before="120" w:beforeLines="50" w:after="120" w:afterLines="50" w:line="480" w:lineRule="exact"/>
        <w:jc w:val="center"/>
        <w:rPr>
          <w:rFonts w:ascii="宋体" w:hAnsi="宋体" w:eastAsia="宋体" w:cs="宋体"/>
          <w:color w:val="auto"/>
          <w:sz w:val="24"/>
          <w:szCs w:val="24"/>
          <w:highlight w:val="none"/>
        </w:rPr>
      </w:pPr>
      <w:bookmarkStart w:id="18" w:name="_Toc18671558"/>
      <w:bookmarkStart w:id="19" w:name="_Toc2231"/>
      <w:r>
        <w:rPr>
          <w:rFonts w:hint="eastAsia" w:ascii="宋体" w:hAnsi="宋体" w:eastAsia="宋体" w:cs="宋体"/>
          <w:color w:val="auto"/>
          <w:sz w:val="24"/>
          <w:szCs w:val="24"/>
          <w:highlight w:val="none"/>
        </w:rPr>
        <w:t>三、单一来源响应文件的编制</w:t>
      </w:r>
      <w:bookmarkEnd w:id="18"/>
      <w:bookmarkEnd w:id="19"/>
    </w:p>
    <w:p w14:paraId="3EB61A28">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12、单一来源响应文件构成</w:t>
      </w:r>
    </w:p>
    <w:p w14:paraId="595AEA40">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12.1响应文件必须按照本文件规定的内容和顺序进行编写。</w:t>
      </w:r>
    </w:p>
    <w:p w14:paraId="7D9A8DFF">
      <w:pPr>
        <w:tabs>
          <w:tab w:val="left" w:pos="72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12.2供应商必须对其响应文件的真实性与准确性负责。供应商一旦成为成交供应商，其响应文件将作为合同的重要组成部分。 </w:t>
      </w:r>
    </w:p>
    <w:p w14:paraId="771AA211">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12.3供应商不得在未征得采购人许可的情况下，擅自对服务类单一来源采购文件条款和技术要求进行修改。</w:t>
      </w:r>
    </w:p>
    <w:p w14:paraId="1A21D6D5">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12.4证明供应商合格的资格文件</w:t>
      </w:r>
    </w:p>
    <w:p w14:paraId="6DF2C03A">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12.4.1应包括服务类单一来源采购文件要求的证明其有资格参加采购活动</w:t>
      </w:r>
      <w:r>
        <w:rPr>
          <w:rFonts w:hint="eastAsia" w:asciiTheme="minorEastAsia" w:hAnsiTheme="minorEastAsia" w:eastAsiaTheme="minorEastAsia" w:cstheme="minorEastAsia"/>
          <w:color w:val="auto"/>
          <w:sz w:val="24"/>
          <w:highlight w:val="none"/>
          <w:lang w:eastAsia="zh-CN"/>
        </w:rPr>
        <w:t>以及</w:t>
      </w:r>
      <w:r>
        <w:rPr>
          <w:rFonts w:hint="eastAsia" w:asciiTheme="minorEastAsia" w:hAnsiTheme="minorEastAsia" w:eastAsiaTheme="minorEastAsia" w:cstheme="minorEastAsia"/>
          <w:color w:val="auto"/>
          <w:sz w:val="24"/>
          <w:highlight w:val="none"/>
        </w:rPr>
        <w:t>之后有能力履行合同的证明文件。</w:t>
      </w:r>
    </w:p>
    <w:p w14:paraId="28DBD5DB">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13、单一来源报价</w:t>
      </w:r>
    </w:p>
    <w:p w14:paraId="1AC5CA36">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13.1本项目只允许一个方案、一个报价。多方案、多报价的响应文件将不被接受。</w:t>
      </w:r>
    </w:p>
    <w:p w14:paraId="7E4FD714">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13.2服务类项目适用：响应总报价应包括完成本项目的费用、税费、等所有费用，即为履行合同的最终价格。</w:t>
      </w:r>
    </w:p>
    <w:p w14:paraId="01F1923D">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13.3供应商响应的货币为人民币。</w:t>
      </w:r>
    </w:p>
    <w:p w14:paraId="10A4F3B1">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14、响应保证金</w:t>
      </w:r>
    </w:p>
    <w:p w14:paraId="14B14437">
      <w:pPr>
        <w:tabs>
          <w:tab w:val="left" w:pos="720"/>
        </w:tabs>
        <w:spacing w:line="480" w:lineRule="exac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本项目无须递交响应保证金</w:t>
      </w:r>
    </w:p>
    <w:p w14:paraId="7394823B">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15、响应有效期</w:t>
      </w:r>
    </w:p>
    <w:p w14:paraId="69D92780">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15.1响应有效期在“供应商须知前附表”中有明确的规定。供应商如未就此提出异议，则视同接受；如承诺的响应有效期短于此规定时间的，将被视为非响应性投标而予以拒绝。</w:t>
      </w:r>
    </w:p>
    <w:p w14:paraId="34662BB4">
      <w:pPr>
        <w:pStyle w:val="35"/>
        <w:spacing w:line="48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15.2在特殊情况下，采购人可于原</w:t>
      </w:r>
      <w:r>
        <w:rPr>
          <w:rFonts w:hint="eastAsia" w:asciiTheme="minorEastAsia" w:hAnsiTheme="minorEastAsia" w:eastAsiaTheme="minorEastAsia" w:cstheme="minorEastAsia"/>
          <w:color w:val="auto"/>
          <w:sz w:val="24"/>
          <w:highlight w:val="none"/>
        </w:rPr>
        <w:t>响应</w:t>
      </w:r>
      <w:r>
        <w:rPr>
          <w:rFonts w:hint="eastAsia" w:asciiTheme="minorEastAsia" w:hAnsiTheme="minorEastAsia" w:eastAsiaTheme="minorEastAsia" w:cstheme="minorEastAsia"/>
          <w:color w:val="auto"/>
          <w:sz w:val="24"/>
          <w:szCs w:val="24"/>
          <w:highlight w:val="none"/>
        </w:rPr>
        <w:t>有效期满之前，向供应商提出延长</w:t>
      </w:r>
      <w:r>
        <w:rPr>
          <w:rFonts w:hint="eastAsia" w:asciiTheme="minorEastAsia" w:hAnsiTheme="minorEastAsia" w:eastAsiaTheme="minorEastAsia" w:cstheme="minorEastAsia"/>
          <w:color w:val="auto"/>
          <w:sz w:val="24"/>
          <w:highlight w:val="none"/>
        </w:rPr>
        <w:t>响应</w:t>
      </w:r>
      <w:r>
        <w:rPr>
          <w:rFonts w:hint="eastAsia" w:asciiTheme="minorEastAsia" w:hAnsiTheme="minorEastAsia" w:eastAsiaTheme="minorEastAsia" w:cstheme="minorEastAsia"/>
          <w:color w:val="auto"/>
          <w:sz w:val="24"/>
          <w:szCs w:val="24"/>
          <w:highlight w:val="none"/>
        </w:rPr>
        <w:t>有效期的要求。供应商同意延长的，不得要求或被允许修改或撤销其单一来源响应文件。供应商拒绝延长的，可以书面形式拒绝采购人的这种要求。如在规定的时间内未提出书面意见表示拒绝，将视为同意延长</w:t>
      </w:r>
      <w:r>
        <w:rPr>
          <w:rFonts w:hint="eastAsia" w:asciiTheme="minorEastAsia" w:hAnsiTheme="minorEastAsia" w:eastAsiaTheme="minorEastAsia" w:cstheme="minorEastAsia"/>
          <w:color w:val="auto"/>
          <w:sz w:val="24"/>
          <w:highlight w:val="none"/>
        </w:rPr>
        <w:t>响应</w:t>
      </w:r>
      <w:r>
        <w:rPr>
          <w:rFonts w:hint="eastAsia" w:asciiTheme="minorEastAsia" w:hAnsiTheme="minorEastAsia" w:eastAsiaTheme="minorEastAsia" w:cstheme="minorEastAsia"/>
          <w:color w:val="auto"/>
          <w:sz w:val="24"/>
          <w:szCs w:val="24"/>
          <w:highlight w:val="none"/>
        </w:rPr>
        <w:t>有效期。</w:t>
      </w:r>
    </w:p>
    <w:p w14:paraId="79C7358A">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15.3在响应有效期内，供应商撤销或修改其单一来源响应文件的，应承担责任。</w:t>
      </w:r>
    </w:p>
    <w:p w14:paraId="1CD35223">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16、单一来源响应文件签署</w:t>
      </w:r>
    </w:p>
    <w:p w14:paraId="63F275E8">
      <w:pPr>
        <w:tabs>
          <w:tab w:val="left" w:pos="0"/>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除特别说明外，本文件要求供应商盖章或者法定代表人签字处，均需加盖供应商</w:t>
      </w:r>
      <w:r>
        <w:rPr>
          <w:rFonts w:hint="eastAsia" w:asciiTheme="minorEastAsia" w:hAnsiTheme="minorEastAsia" w:eastAsiaTheme="minorEastAsia" w:cstheme="minorEastAsia"/>
          <w:color w:val="auto"/>
          <w:sz w:val="24"/>
          <w:highlight w:val="none"/>
          <w:lang w:val="en-US" w:eastAsia="zh-CN"/>
        </w:rPr>
        <w:t>公章</w:t>
      </w:r>
      <w:r>
        <w:rPr>
          <w:rFonts w:hint="eastAsia" w:asciiTheme="minorEastAsia" w:hAnsiTheme="minorEastAsia" w:eastAsiaTheme="minorEastAsia" w:cstheme="minorEastAsia"/>
          <w:color w:val="auto"/>
          <w:sz w:val="24"/>
          <w:highlight w:val="none"/>
        </w:rPr>
        <w:t>或其法定代表人</w:t>
      </w:r>
      <w:r>
        <w:rPr>
          <w:rFonts w:hint="eastAsia" w:asciiTheme="minorEastAsia" w:hAnsiTheme="minorEastAsia" w:eastAsiaTheme="minorEastAsia" w:cstheme="minorEastAsia"/>
          <w:color w:val="auto"/>
          <w:sz w:val="24"/>
          <w:highlight w:val="none"/>
          <w:lang w:val="en-US" w:eastAsia="zh-CN"/>
        </w:rPr>
        <w:t>签字</w:t>
      </w:r>
      <w:r>
        <w:rPr>
          <w:rFonts w:hint="eastAsia" w:asciiTheme="minorEastAsia" w:hAnsiTheme="minorEastAsia" w:eastAsiaTheme="minorEastAsia" w:cstheme="minorEastAsia"/>
          <w:color w:val="auto"/>
          <w:sz w:val="24"/>
          <w:highlight w:val="none"/>
        </w:rPr>
        <w:t>。被授权人签字的，还需附法定代表人授权委托书。</w:t>
      </w:r>
    </w:p>
    <w:p w14:paraId="426D71EE">
      <w:pPr>
        <w:pStyle w:val="3"/>
        <w:spacing w:before="120" w:beforeLines="50" w:after="120" w:afterLines="50" w:line="480" w:lineRule="exact"/>
        <w:jc w:val="center"/>
        <w:rPr>
          <w:rFonts w:ascii="宋体" w:hAnsi="宋体" w:eastAsia="宋体" w:cs="宋体"/>
          <w:color w:val="auto"/>
          <w:sz w:val="24"/>
          <w:szCs w:val="24"/>
          <w:highlight w:val="none"/>
        </w:rPr>
      </w:pPr>
      <w:bookmarkStart w:id="20" w:name="_Toc18671559"/>
      <w:bookmarkStart w:id="21" w:name="_Toc26999"/>
      <w:r>
        <w:rPr>
          <w:rFonts w:hint="eastAsia" w:ascii="宋体" w:hAnsi="宋体" w:eastAsia="宋体" w:cs="宋体"/>
          <w:color w:val="auto"/>
          <w:sz w:val="24"/>
          <w:szCs w:val="24"/>
          <w:highlight w:val="none"/>
        </w:rPr>
        <w:t>四、单一来源响应文件的递交</w:t>
      </w:r>
      <w:bookmarkEnd w:id="20"/>
      <w:bookmarkEnd w:id="21"/>
    </w:p>
    <w:p w14:paraId="5A46B418">
      <w:pPr>
        <w:spacing w:line="4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17、单一来源响应文件的提交</w:t>
      </w:r>
    </w:p>
    <w:p w14:paraId="5D14B3EB">
      <w:pPr>
        <w:pStyle w:val="35"/>
        <w:spacing w:line="48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本项目为纸质投标，在</w:t>
      </w:r>
      <w:r>
        <w:rPr>
          <w:rFonts w:hint="eastAsia" w:asciiTheme="minorEastAsia" w:hAnsiTheme="minorEastAsia" w:eastAsiaTheme="minorEastAsia" w:cstheme="minorEastAsia"/>
          <w:color w:val="auto"/>
          <w:sz w:val="24"/>
          <w:szCs w:val="24"/>
          <w:highlight w:val="none"/>
          <w:lang w:val="en-US" w:eastAsia="zh-CN"/>
        </w:rPr>
        <w:t>响应文件递交</w:t>
      </w:r>
      <w:r>
        <w:rPr>
          <w:rFonts w:hint="eastAsia" w:asciiTheme="minorEastAsia" w:hAnsiTheme="minorEastAsia" w:eastAsiaTheme="minorEastAsia" w:cstheme="minorEastAsia"/>
          <w:color w:val="auto"/>
          <w:sz w:val="24"/>
          <w:szCs w:val="24"/>
          <w:highlight w:val="none"/>
        </w:rPr>
        <w:t>截止时间前现场递交</w:t>
      </w:r>
      <w:r>
        <w:rPr>
          <w:rFonts w:hint="eastAsia" w:asciiTheme="minorEastAsia" w:hAnsiTheme="minorEastAsia" w:eastAsiaTheme="minorEastAsia" w:cstheme="minorEastAsia"/>
          <w:color w:val="auto"/>
          <w:sz w:val="24"/>
          <w:szCs w:val="24"/>
          <w:highlight w:val="none"/>
          <w:lang w:eastAsia="zh-CN"/>
        </w:rPr>
        <w:t>。</w:t>
      </w:r>
    </w:p>
    <w:p w14:paraId="63BAFA38">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18、单一来源响应文件的修改和撤回</w:t>
      </w:r>
    </w:p>
    <w:p w14:paraId="6833B439">
      <w:pPr>
        <w:pStyle w:val="35"/>
        <w:spacing w:line="48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在供应商须知前附表规定的响应文件提交截止时间前，供应商可以修改或撤回已递交的单一来源响应文件。</w:t>
      </w:r>
    </w:p>
    <w:p w14:paraId="531B6A99">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19、联合体参加单一来源协商</w:t>
      </w:r>
    </w:p>
    <w:p w14:paraId="5BE404CF">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由两家或两家以上供应商组成的联合体参与协商时，应满足以下要求：</w:t>
      </w:r>
    </w:p>
    <w:p w14:paraId="47954EBC">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19.1参加联合体的供应商均应当具备政府采购法第二十二条规定的条件，如本项目还有其他特定条件的，联合体各方中至少有一方符合特定的条件。联合体中有同类资质的供应商按照联合体分工承担相同工作的，应当按照资质等级较低的供应商确定资质等级。</w:t>
      </w:r>
    </w:p>
    <w:p w14:paraId="39B7DFAB">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19.2联合体应签订联合参与协商的协议，明确各方承担的职责和相应的责任，并授权其中的一个成员作为代表，具体进行协商、签订合同等事务。此协议或授权书应作为单一来源响应文件的一部分。</w:t>
      </w:r>
    </w:p>
    <w:p w14:paraId="5F235466">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19.3联合体中牵头方应能全权处理协商过程中的有关问题。一旦成为成交供应商，该被授权供应商应负责签订合同并负责合同的全面实施，包括合同款项的收付。</w:t>
      </w:r>
    </w:p>
    <w:p w14:paraId="24B96FE6">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19.4以联合体形式参加采购活动的，联合体各方不得再单独参加或者与其他供应商另外组成联合体参加同一合同项下的采购活动。</w:t>
      </w:r>
    </w:p>
    <w:p w14:paraId="7C91706C">
      <w:pPr>
        <w:pStyle w:val="3"/>
        <w:spacing w:before="120" w:beforeLines="50" w:after="120" w:afterLines="50" w:line="480" w:lineRule="exact"/>
        <w:jc w:val="center"/>
        <w:rPr>
          <w:rFonts w:ascii="宋体" w:hAnsi="宋体" w:eastAsia="宋体" w:cs="宋体"/>
          <w:color w:val="auto"/>
          <w:sz w:val="24"/>
          <w:szCs w:val="24"/>
          <w:highlight w:val="none"/>
        </w:rPr>
      </w:pPr>
      <w:bookmarkStart w:id="22" w:name="_Toc20301"/>
      <w:bookmarkStart w:id="23" w:name="_Toc18671560"/>
      <w:r>
        <w:rPr>
          <w:rFonts w:hint="eastAsia" w:ascii="宋体" w:hAnsi="宋体" w:eastAsia="宋体" w:cs="宋体"/>
          <w:color w:val="auto"/>
          <w:sz w:val="24"/>
          <w:szCs w:val="24"/>
          <w:highlight w:val="none"/>
        </w:rPr>
        <w:t>五、协商与评审</w:t>
      </w:r>
      <w:bookmarkEnd w:id="22"/>
      <w:bookmarkEnd w:id="23"/>
    </w:p>
    <w:p w14:paraId="239BF74F">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20、协商</w:t>
      </w:r>
    </w:p>
    <w:p w14:paraId="22D99628">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20.1采购人将在规定的时间组织协商。供应商的法定代表人或其委托的代理人应在</w:t>
      </w:r>
      <w:r>
        <w:rPr>
          <w:rFonts w:hint="eastAsia" w:asciiTheme="minorEastAsia" w:hAnsiTheme="minorEastAsia" w:eastAsiaTheme="minorEastAsia" w:cstheme="minorEastAsia"/>
          <w:color w:val="auto"/>
          <w:sz w:val="24"/>
          <w:highlight w:val="none"/>
          <w:lang w:val="en-US" w:eastAsia="zh-CN"/>
        </w:rPr>
        <w:t>现场</w:t>
      </w:r>
      <w:r>
        <w:rPr>
          <w:rFonts w:hint="eastAsia" w:asciiTheme="minorEastAsia" w:hAnsiTheme="minorEastAsia" w:eastAsiaTheme="minorEastAsia" w:cstheme="minorEastAsia"/>
          <w:color w:val="auto"/>
          <w:sz w:val="24"/>
          <w:highlight w:val="none"/>
        </w:rPr>
        <w:t>准时参加。</w:t>
      </w:r>
    </w:p>
    <w:p w14:paraId="0CBF5D61">
      <w:pPr>
        <w:tabs>
          <w:tab w:val="left" w:pos="90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20.2采购人将按规定组织相关人员组成协商小组。</w:t>
      </w:r>
    </w:p>
    <w:p w14:paraId="51B8AB35">
      <w:pPr>
        <w:tabs>
          <w:tab w:val="left" w:pos="36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20.3协商小组将首先对单一来源响应文件进行符合性评审，了解其与采购文件要求是否有偏离。</w:t>
      </w:r>
    </w:p>
    <w:p w14:paraId="73A3FE52">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20.4符合性评审结束后，协商小组将要求供应商就单一来源响应文件中含糊不清、错漏的地方或协商小组提出的其他内容进行澄清，然后与供应商就采购需求进行协商并要求供应商就之前提出的问题和技术内容进行书面确认。</w:t>
      </w:r>
      <w:r>
        <w:rPr>
          <w:rFonts w:hint="eastAsia" w:asciiTheme="minorEastAsia" w:hAnsiTheme="minorEastAsia" w:eastAsiaTheme="minorEastAsia" w:cstheme="minorEastAsia"/>
          <w:b/>
          <w:color w:val="auto"/>
          <w:sz w:val="24"/>
          <w:highlight w:val="none"/>
        </w:rPr>
        <w:t>供应商未通过符合性评审的，不进入后续程序。</w:t>
      </w:r>
    </w:p>
    <w:p w14:paraId="17324077">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20.5符合性评审通过后，协商小组与供应商进行价格协商，并确定最终合同价格。</w:t>
      </w:r>
    </w:p>
    <w:p w14:paraId="0974EA06">
      <w:pPr>
        <w:spacing w:line="48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供应商每次报价都应当在协商小组发出报价要求后半小时内完成报价事宜。</w:t>
      </w:r>
    </w:p>
    <w:p w14:paraId="3182970A">
      <w:pPr>
        <w:spacing w:line="480" w:lineRule="exac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供应商必须在规定的时间内将自己在协商中作出的澄清、变动以及最终的报价，经供应商</w:t>
      </w:r>
      <w:r>
        <w:rPr>
          <w:rFonts w:hint="eastAsia" w:asciiTheme="minorEastAsia" w:hAnsiTheme="minorEastAsia" w:eastAsiaTheme="minorEastAsia" w:cstheme="minorEastAsia"/>
          <w:bCs/>
          <w:color w:val="auto"/>
          <w:sz w:val="24"/>
          <w:highlight w:val="none"/>
          <w:lang w:val="en-US" w:eastAsia="zh-CN"/>
        </w:rPr>
        <w:t>填写</w:t>
      </w:r>
      <w:r>
        <w:rPr>
          <w:rFonts w:hint="eastAsia" w:asciiTheme="minorEastAsia" w:hAnsiTheme="minorEastAsia" w:eastAsiaTheme="minorEastAsia" w:cstheme="minorEastAsia"/>
          <w:bCs/>
          <w:color w:val="auto"/>
          <w:sz w:val="24"/>
          <w:highlight w:val="none"/>
        </w:rPr>
        <w:t>后，以</w:t>
      </w:r>
      <w:r>
        <w:rPr>
          <w:rFonts w:hint="eastAsia" w:asciiTheme="minorEastAsia" w:hAnsiTheme="minorEastAsia" w:eastAsiaTheme="minorEastAsia" w:cstheme="minorEastAsia"/>
          <w:bCs/>
          <w:color w:val="auto"/>
          <w:sz w:val="24"/>
          <w:highlight w:val="none"/>
          <w:lang w:val="en-US" w:eastAsia="zh-CN"/>
        </w:rPr>
        <w:t>纸质</w:t>
      </w:r>
      <w:r>
        <w:rPr>
          <w:rFonts w:hint="eastAsia" w:asciiTheme="minorEastAsia" w:hAnsiTheme="minorEastAsia" w:eastAsiaTheme="minorEastAsia" w:cstheme="minorEastAsia"/>
          <w:bCs/>
          <w:color w:val="auto"/>
          <w:sz w:val="24"/>
          <w:highlight w:val="none"/>
        </w:rPr>
        <w:t>的方式提交给协商小组。</w:t>
      </w:r>
    </w:p>
    <w:p w14:paraId="7C3A5889">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21、评审</w:t>
      </w:r>
    </w:p>
    <w:p w14:paraId="061CE65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21.1协商小组将依据供应商最终提交的确认件进行评审，并编写协商报告。</w:t>
      </w:r>
    </w:p>
    <w:p w14:paraId="717E27A7">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21.2采购人确认成交供应商后，应将结果在指定的网站公告。</w:t>
      </w:r>
    </w:p>
    <w:p w14:paraId="6FADB347">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22、异常情况处理</w:t>
      </w:r>
    </w:p>
    <w:p w14:paraId="4DB3F282">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出现下列情形之一的，采购人或者采购代理机构应当终止采购活动，发布项目终止公告并说明原因，重新开展采购活动：</w:t>
      </w:r>
    </w:p>
    <w:p w14:paraId="49BDCBD5">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（一）因情况变化，不再符合规定的单一来源采购方式适用情形的；</w:t>
      </w:r>
    </w:p>
    <w:p w14:paraId="4FF8EDA8">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（二）出现影响采购公正的违法、违规行为的；</w:t>
      </w:r>
    </w:p>
    <w:p w14:paraId="526A68FF">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（三）报价超过采购预算的；</w:t>
      </w:r>
    </w:p>
    <w:p w14:paraId="37C680F1">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（四）因重大事故，采购任务取消的。</w:t>
      </w:r>
    </w:p>
    <w:p w14:paraId="4980FBD0">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23、供应商存在下列情况之一的，响应无效：</w:t>
      </w:r>
    </w:p>
    <w:p w14:paraId="2400B9A3">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（一）响应文件未按采购文件要求签署、盖章的；</w:t>
      </w:r>
    </w:p>
    <w:p w14:paraId="0FA38E94">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（二）报价超过采购文件中规定的金额或者最高限价的，采购人可以支付的除外；</w:t>
      </w:r>
    </w:p>
    <w:p w14:paraId="4D396149">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（三）响应文件含有采购人不能接受的附加条件的；</w:t>
      </w:r>
    </w:p>
    <w:p w14:paraId="1A757B55">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（四）法律、法规和采购文件规定的其他无效情形的；</w:t>
      </w:r>
    </w:p>
    <w:p w14:paraId="31528204">
      <w:pPr>
        <w:tabs>
          <w:tab w:val="left" w:pos="54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（五）提供虚假材料参加单一来源活动的违法、违规行为被查实的。</w:t>
      </w:r>
    </w:p>
    <w:p w14:paraId="39F0B4BD">
      <w:pPr>
        <w:pStyle w:val="3"/>
        <w:spacing w:before="120" w:beforeLines="50" w:after="120" w:afterLines="50" w:line="480" w:lineRule="exact"/>
        <w:jc w:val="center"/>
        <w:rPr>
          <w:rFonts w:ascii="宋体" w:hAnsi="宋体" w:eastAsia="宋体" w:cs="宋体"/>
          <w:color w:val="auto"/>
          <w:sz w:val="24"/>
          <w:szCs w:val="24"/>
          <w:highlight w:val="none"/>
        </w:rPr>
      </w:pPr>
      <w:bookmarkStart w:id="24" w:name="_Toc4538"/>
      <w:bookmarkStart w:id="25" w:name="_Toc18671561"/>
      <w:r>
        <w:rPr>
          <w:rFonts w:hint="eastAsia" w:ascii="宋体" w:hAnsi="宋体" w:eastAsia="宋体" w:cs="宋体"/>
          <w:color w:val="auto"/>
          <w:sz w:val="24"/>
          <w:szCs w:val="24"/>
          <w:highlight w:val="none"/>
        </w:rPr>
        <w:t>六、成交和授予合同</w:t>
      </w:r>
      <w:bookmarkEnd w:id="24"/>
      <w:bookmarkEnd w:id="25"/>
    </w:p>
    <w:p w14:paraId="73E7CE7A">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24、成交确认</w:t>
      </w:r>
    </w:p>
    <w:p w14:paraId="4FEBA8F9">
      <w:pPr>
        <w:tabs>
          <w:tab w:val="left" w:pos="0"/>
        </w:tabs>
        <w:spacing w:line="480" w:lineRule="exact"/>
        <w:rPr>
          <w:rFonts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采购人应当在收到协商报告后5个工作日内，确定成交供应商。</w:t>
      </w:r>
    </w:p>
    <w:p w14:paraId="3EA1F90B">
      <w:pPr>
        <w:tabs>
          <w:tab w:val="left" w:pos="0"/>
        </w:tabs>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25、签订合同</w:t>
      </w:r>
    </w:p>
    <w:p w14:paraId="304F4F51">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shd w:val="clear" w:color="auto" w:fill="FFFFFF"/>
        </w:rPr>
        <w:t>25</w:t>
      </w:r>
      <w:r>
        <w:rPr>
          <w:rFonts w:hint="eastAsia" w:asciiTheme="minorEastAsia" w:hAnsiTheme="minorEastAsia" w:eastAsiaTheme="minorEastAsia" w:cstheme="minorEastAsia"/>
          <w:color w:val="auto"/>
          <w:sz w:val="24"/>
          <w:highlight w:val="none"/>
        </w:rPr>
        <w:t>.1采购</w:t>
      </w:r>
      <w:r>
        <w:rPr>
          <w:rFonts w:hint="eastAsia" w:asciiTheme="minorEastAsia" w:hAnsiTheme="minorEastAsia" w:eastAsiaTheme="minorEastAsia" w:cstheme="minorEastAsia"/>
          <w:color w:val="auto"/>
          <w:sz w:val="24"/>
          <w:highlight w:val="none"/>
          <w:shd w:val="clear" w:color="auto" w:fill="FFFFFF"/>
        </w:rPr>
        <w:t>人应尽量缩短采购合同签订时间，按照采购文件确定的合同文本以及采购标的、规格型号、采购金额、采购数量、技术和服务要求等事项签订采购合同，不得晚于中标（成交）通知书发放之日起 7 个工作日。无正当理由不得拒绝或者拖延签订合同，因供应商自身原因导致无法及时签订的除外。</w:t>
      </w:r>
    </w:p>
    <w:p w14:paraId="12A3D037">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25.2政府采购合同在履行中可追加与合同标的相同的服务，但采购金额不得超过原合同采购金额的10%。</w:t>
      </w:r>
    </w:p>
    <w:p w14:paraId="7DFC35BD">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25.3成交供应商拒绝与采购人签订合同的，将按相关规定进行处理。成交通知书发出后，采购人无正当理由不与成交供应商签订采购合同的，将依据相关规定给予处理。</w:t>
      </w:r>
    </w:p>
    <w:p w14:paraId="18A88CF5">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25.4因政策变化等原因不能签订合同，造成企业合法利益受损的情形，采购人可以与供应商充分协商，给予合理补偿。</w:t>
      </w:r>
    </w:p>
    <w:p w14:paraId="3B625E8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25.5在签订合同时，供应商书面明确表示无需预付款或者主动要求降低预付款比例的，采购人可不适用前述（即付款方式）规定。</w:t>
      </w:r>
    </w:p>
    <w:p w14:paraId="5D2381B6">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25.6采购文件和合同中没有约定预付款的，经供应商申请，采购人可以支付预付款。</w:t>
      </w:r>
    </w:p>
    <w:p w14:paraId="2804A138">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25.7采购人可根据项目特点、供应商诚信等因素，要求供应商提交银行、保险公司、担保公司等金融机构出具的预付款保函或其他担保措施。</w:t>
      </w:r>
    </w:p>
    <w:p w14:paraId="2E4905E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25.8政府采购预付款应在合同、担保措施生效以及具备实施条件后 5 个工作日内支付。</w:t>
      </w:r>
    </w:p>
    <w:p w14:paraId="4F52624C">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25.9延迟支付中小企业款项的，供应商可要求采购人按照合同约定支付逾期利息，合同没有约定的，按照同期人民银行 LPR支付逾期利息。</w:t>
      </w:r>
    </w:p>
    <w:p w14:paraId="1A5AC5A3">
      <w:pPr>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25.10 成交供应商无正当理由不与采购人订立合同的处罚依据：</w:t>
      </w:r>
    </w:p>
    <w:p w14:paraId="445934D5">
      <w:pPr>
        <w:pStyle w:val="15"/>
        <w:spacing w:after="0" w:line="480" w:lineRule="exact"/>
        <w:ind w:firstLine="0"/>
        <w:rPr>
          <w:color w:val="auto"/>
          <w:highlight w:val="none"/>
        </w:rPr>
      </w:pPr>
      <w:r>
        <w:rPr>
          <w:rFonts w:hint="eastAsia"/>
          <w:color w:val="auto"/>
          <w:highlight w:val="none"/>
        </w:rPr>
        <w:t>（1）《中华人民共和国政府采购法实施条例》</w:t>
      </w:r>
    </w:p>
    <w:p w14:paraId="128BBFA3">
      <w:pPr>
        <w:pStyle w:val="15"/>
        <w:spacing w:after="0" w:line="480" w:lineRule="exact"/>
        <w:ind w:firstLine="0"/>
        <w:rPr>
          <w:color w:val="auto"/>
          <w:highlight w:val="none"/>
        </w:rPr>
      </w:pPr>
      <w:r>
        <w:rPr>
          <w:rFonts w:hint="eastAsia"/>
          <w:color w:val="auto"/>
          <w:highlight w:val="none"/>
        </w:rPr>
        <w:t>第七十二条 供应商有下列情形之一的，依照政府采购法第七十七条第一款的规定追究法律责任：……</w:t>
      </w:r>
    </w:p>
    <w:p w14:paraId="7D14500C">
      <w:pPr>
        <w:pStyle w:val="15"/>
        <w:spacing w:after="0" w:line="480" w:lineRule="exact"/>
        <w:ind w:firstLine="0"/>
        <w:rPr>
          <w:color w:val="auto"/>
          <w:highlight w:val="none"/>
        </w:rPr>
      </w:pPr>
      <w:r>
        <w:rPr>
          <w:rFonts w:hint="eastAsia"/>
          <w:color w:val="auto"/>
          <w:highlight w:val="none"/>
        </w:rPr>
        <w:t>（二）中标或者成交后无正当理由拒不与采购人签订政府采购合同；……</w:t>
      </w:r>
    </w:p>
    <w:p w14:paraId="2BE8E449">
      <w:pPr>
        <w:pStyle w:val="15"/>
        <w:spacing w:after="0" w:line="480" w:lineRule="exact"/>
        <w:ind w:firstLine="0"/>
        <w:rPr>
          <w:color w:val="auto"/>
          <w:highlight w:val="none"/>
        </w:rPr>
      </w:pPr>
      <w:r>
        <w:rPr>
          <w:rFonts w:hint="eastAsia"/>
          <w:color w:val="auto"/>
          <w:highlight w:val="none"/>
        </w:rPr>
        <w:t>（2）《中华人民共和国政府采购法》</w:t>
      </w:r>
    </w:p>
    <w:p w14:paraId="01122CE4">
      <w:pPr>
        <w:pStyle w:val="15"/>
        <w:spacing w:after="0" w:line="480" w:lineRule="exact"/>
        <w:ind w:firstLine="0"/>
        <w:rPr>
          <w:color w:val="auto"/>
          <w:highlight w:val="none"/>
        </w:rPr>
      </w:pPr>
      <w:r>
        <w:rPr>
          <w:rFonts w:hint="eastAsia"/>
          <w:color w:val="auto"/>
          <w:highlight w:val="none"/>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5B2876D">
      <w:pPr>
        <w:pStyle w:val="15"/>
        <w:spacing w:after="0" w:line="480" w:lineRule="exact"/>
        <w:ind w:firstLine="0"/>
        <w:rPr>
          <w:color w:val="auto"/>
          <w:highlight w:val="none"/>
        </w:rPr>
      </w:pPr>
      <w:r>
        <w:rPr>
          <w:rFonts w:hint="eastAsia"/>
          <w:color w:val="auto"/>
          <w:highlight w:val="none"/>
        </w:rPr>
        <w:t>（3）《政府采购非招标采购方式管理办法》（财政部令第74号）</w:t>
      </w:r>
    </w:p>
    <w:p w14:paraId="28A48336">
      <w:pPr>
        <w:pStyle w:val="15"/>
        <w:spacing w:after="0" w:line="480" w:lineRule="exact"/>
        <w:ind w:firstLine="120" w:firstLineChars="50"/>
        <w:rPr>
          <w:color w:val="auto"/>
          <w:highlight w:val="none"/>
        </w:rPr>
      </w:pPr>
      <w:r>
        <w:rPr>
          <w:rFonts w:hint="eastAsia"/>
          <w:color w:val="auto"/>
          <w:highlight w:val="none"/>
        </w:rPr>
        <w:t>第五十四条 成交供应商有下列情形之一的，责令限期整改，情节严重的，列入不良行为记录名单，在1至3年内禁止参加政府采购活动，并予以通报：……</w:t>
      </w:r>
    </w:p>
    <w:p w14:paraId="1EBAF858">
      <w:pPr>
        <w:pStyle w:val="15"/>
        <w:spacing w:after="0" w:line="480" w:lineRule="exact"/>
        <w:ind w:firstLine="0"/>
        <w:rPr>
          <w:rFonts w:asciiTheme="minorEastAsia" w:hAnsiTheme="minorEastAsia" w:eastAsiaTheme="minorEastAsia" w:cstheme="minorEastAsia"/>
          <w:color w:val="auto"/>
          <w:highlight w:val="none"/>
        </w:rPr>
      </w:pPr>
      <w:r>
        <w:rPr>
          <w:rFonts w:hint="eastAsia"/>
          <w:color w:val="auto"/>
          <w:highlight w:val="none"/>
        </w:rPr>
        <w:t>（二）成交后无正当理由不与采购人签订合同的；……</w:t>
      </w:r>
    </w:p>
    <w:p w14:paraId="7392E441">
      <w:pPr>
        <w:spacing w:line="48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26、履约保证金</w:t>
      </w:r>
    </w:p>
    <w:p w14:paraId="04A5A9EA">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26.1成交供应商在签订合同前必须按单一来源文件的规定，及时、足额交纳履约保证金。</w:t>
      </w:r>
    </w:p>
    <w:p w14:paraId="7C47A6F7">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26.2履约保证金是督促成交供应商按时、按质、按量履行合同的一个经济制约手段。当采购人因成交供应商违约而造成损失时，可在无须征得成交供应商同意的情况下首先从其所交纳的履约保证金中获取相应的补偿。</w:t>
      </w:r>
    </w:p>
    <w:bookmarkEnd w:id="14"/>
    <w:bookmarkEnd w:id="15"/>
    <w:p w14:paraId="15CC37AC">
      <w:pPr>
        <w:spacing w:line="480" w:lineRule="exact"/>
        <w:rPr>
          <w:rFonts w:asciiTheme="minorEastAsia" w:hAnsiTheme="minorEastAsia" w:eastAsiaTheme="minorEastAsia" w:cstheme="minorEastAsia"/>
          <w:b/>
          <w:color w:val="auto"/>
          <w:sz w:val="24"/>
          <w:highlight w:val="none"/>
        </w:rPr>
      </w:pPr>
      <w:bookmarkStart w:id="26" w:name="_Toc14936"/>
      <w:bookmarkStart w:id="27" w:name="_Toc27142"/>
      <w:bookmarkStart w:id="28" w:name="_Toc272163837"/>
      <w:bookmarkStart w:id="29" w:name="_Toc533314955"/>
      <w:r>
        <w:rPr>
          <w:rFonts w:hint="eastAsia" w:asciiTheme="minorEastAsia" w:hAnsiTheme="minorEastAsia" w:eastAsiaTheme="minorEastAsia" w:cstheme="minorEastAsia"/>
          <w:b/>
          <w:color w:val="auto"/>
          <w:sz w:val="24"/>
          <w:highlight w:val="none"/>
        </w:rPr>
        <w:t>27、验收</w:t>
      </w:r>
      <w:bookmarkEnd w:id="26"/>
      <w:bookmarkEnd w:id="27"/>
      <w:r>
        <w:rPr>
          <w:rFonts w:hint="eastAsia" w:asciiTheme="minorEastAsia" w:hAnsiTheme="minorEastAsia" w:eastAsiaTheme="minorEastAsia" w:cstheme="minorEastAsia"/>
          <w:b/>
          <w:color w:val="auto"/>
          <w:sz w:val="24"/>
          <w:highlight w:val="none"/>
        </w:rPr>
        <w:t>与支付</w:t>
      </w:r>
    </w:p>
    <w:p w14:paraId="11C993FB">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27.1采购人应当在项目完成且收到供应商验收申请后 5 个工作日内组织开展履约验收。</w:t>
      </w:r>
    </w:p>
    <w:p w14:paraId="4B99CEE4">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27.2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0BB0AF76">
      <w:pPr>
        <w:tabs>
          <w:tab w:val="left" w:pos="0"/>
        </w:tabs>
        <w:spacing w:line="48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27.3涉及安全、消防、环保等其他需要由质检或行业主管部门进行验收的项目，必须邀请相关部门或相关专家参与验收。</w:t>
      </w:r>
    </w:p>
    <w:p w14:paraId="3F5EA867">
      <w:pPr>
        <w:tabs>
          <w:tab w:val="left" w:pos="0"/>
        </w:tabs>
        <w:spacing w:line="480" w:lineRule="exact"/>
        <w:rPr>
          <w:rFonts w:hint="eastAsia" w:ascii="宋体" w:hAnsi="宋体" w:eastAsia="宋体" w:cs="宋体"/>
          <w:b/>
          <w:color w:val="auto"/>
          <w:sz w:val="24"/>
          <w:szCs w:val="24"/>
          <w:highlight w:val="none"/>
        </w:rPr>
      </w:pPr>
      <w:r>
        <w:rPr>
          <w:rFonts w:hint="eastAsia" w:asciiTheme="minorEastAsia" w:hAnsiTheme="minorEastAsia" w:eastAsiaTheme="minorEastAsia" w:cstheme="minorEastAsia"/>
          <w:color w:val="auto"/>
          <w:sz w:val="24"/>
          <w:highlight w:val="none"/>
        </w:rPr>
        <w:t>27.4对于符合支付条件的项目，应在收到发票后7个工作日内将资金支付到合同约定的供应商账户，不得以进行审计作为支付供应商款项的条件。采购人不得以机构变动、人员更替、政策调整、履行内部付款流程等为由延迟付款。</w:t>
      </w:r>
      <w:bookmarkStart w:id="30" w:name="_Toc220232392"/>
      <w:bookmarkStart w:id="31" w:name="_Toc29961"/>
      <w:bookmarkStart w:id="32" w:name="_Toc463733011"/>
    </w:p>
    <w:p w14:paraId="3894CB3F">
      <w:pPr>
        <w:pStyle w:val="2"/>
        <w:spacing w:before="120" w:beforeLines="50" w:after="120" w:afterLines="50" w:line="560" w:lineRule="exact"/>
        <w:ind w:left="0" w:leftChars="0" w:firstLine="0" w:firstLineChars="0"/>
        <w:jc w:val="center"/>
        <w:rPr>
          <w:rFonts w:hint="eastAsia" w:ascii="宋体" w:hAnsi="宋体" w:eastAsia="宋体" w:cs="宋体"/>
          <w:b/>
          <w:color w:val="auto"/>
          <w:sz w:val="24"/>
          <w:szCs w:val="24"/>
          <w:highlight w:val="none"/>
        </w:rPr>
      </w:pPr>
    </w:p>
    <w:p w14:paraId="741801DC">
      <w:pPr>
        <w:pStyle w:val="2"/>
        <w:spacing w:before="120" w:beforeLines="50" w:after="120" w:afterLines="50" w:line="560" w:lineRule="exact"/>
        <w:ind w:left="0" w:leftChars="0" w:firstLine="0" w:firstLineChars="0"/>
        <w:jc w:val="center"/>
        <w:rPr>
          <w:rFonts w:hint="eastAsia" w:ascii="宋体" w:hAnsi="宋体" w:eastAsia="宋体" w:cs="宋体"/>
          <w:b/>
          <w:color w:val="auto"/>
          <w:sz w:val="24"/>
          <w:szCs w:val="24"/>
          <w:highlight w:val="none"/>
        </w:rPr>
      </w:pPr>
    </w:p>
    <w:p w14:paraId="16DE2745">
      <w:pPr>
        <w:pStyle w:val="2"/>
        <w:spacing w:before="120" w:beforeLines="50" w:after="120" w:afterLines="50" w:line="560" w:lineRule="exact"/>
        <w:ind w:left="0" w:leftChars="0" w:firstLine="0" w:firstLineChars="0"/>
        <w:jc w:val="center"/>
        <w:rPr>
          <w:rFonts w:hint="eastAsia" w:ascii="宋体" w:hAnsi="宋体" w:eastAsia="宋体" w:cs="宋体"/>
          <w:b/>
          <w:color w:val="auto"/>
          <w:sz w:val="24"/>
          <w:szCs w:val="24"/>
          <w:highlight w:val="none"/>
        </w:rPr>
      </w:pPr>
    </w:p>
    <w:p w14:paraId="6BE9A2C4">
      <w:pPr>
        <w:pStyle w:val="2"/>
        <w:spacing w:before="120" w:beforeLines="50" w:after="120" w:afterLines="50" w:line="560" w:lineRule="exact"/>
        <w:ind w:left="0" w:leftChars="0" w:firstLine="0" w:firstLineChars="0"/>
        <w:jc w:val="center"/>
        <w:rPr>
          <w:rFonts w:hint="eastAsia" w:ascii="宋体" w:hAnsi="宋体" w:eastAsia="宋体" w:cs="宋体"/>
          <w:b/>
          <w:color w:val="auto"/>
          <w:sz w:val="24"/>
          <w:szCs w:val="24"/>
          <w:highlight w:val="none"/>
        </w:rPr>
      </w:pPr>
    </w:p>
    <w:p w14:paraId="694867DF">
      <w:pPr>
        <w:pStyle w:val="2"/>
        <w:spacing w:before="120" w:beforeLines="50" w:after="120" w:afterLines="50" w:line="560" w:lineRule="exact"/>
        <w:ind w:left="0" w:leftChars="0" w:firstLine="0" w:firstLineChars="0"/>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第四章  采购合同</w:t>
      </w:r>
      <w:bookmarkEnd w:id="30"/>
      <w:bookmarkEnd w:id="31"/>
      <w:bookmarkEnd w:id="32"/>
    </w:p>
    <w:p w14:paraId="7D5497A1">
      <w:pPr>
        <w:spacing w:before="78" w:line="220" w:lineRule="auto"/>
        <w:jc w:val="center"/>
        <w:rPr>
          <w:rFonts w:hint="eastAsia" w:ascii="宋体" w:hAnsi="宋体" w:eastAsia="宋体" w:cs="宋体"/>
          <w:color w:val="auto"/>
          <w:spacing w:val="-6"/>
          <w:sz w:val="24"/>
          <w:highlight w:val="none"/>
          <w:lang w:eastAsia="zh-CN"/>
        </w:rPr>
      </w:pPr>
      <w:r>
        <w:rPr>
          <w:rFonts w:hint="eastAsia" w:ascii="宋体" w:hAnsi="宋体" w:eastAsia="宋体" w:cs="宋体"/>
          <w:color w:val="auto"/>
          <w:spacing w:val="-6"/>
          <w:sz w:val="24"/>
          <w:highlight w:val="none"/>
          <w:lang w:eastAsia="zh-CN"/>
        </w:rPr>
        <w:t>（</w:t>
      </w:r>
      <w:r>
        <w:rPr>
          <w:rFonts w:hint="eastAsia" w:ascii="宋体" w:hAnsi="宋体" w:eastAsia="宋体" w:cs="宋体"/>
          <w:color w:val="auto"/>
          <w:spacing w:val="-6"/>
          <w:sz w:val="24"/>
          <w:highlight w:val="none"/>
          <w:lang w:val="en-US" w:eastAsia="zh-CN"/>
        </w:rPr>
        <w:t>甲乙双方自行拟定</w:t>
      </w:r>
      <w:r>
        <w:rPr>
          <w:rFonts w:hint="eastAsia" w:ascii="宋体" w:hAnsi="宋体" w:eastAsia="宋体" w:cs="宋体"/>
          <w:color w:val="auto"/>
          <w:spacing w:val="-6"/>
          <w:sz w:val="24"/>
          <w:highlight w:val="none"/>
          <w:lang w:eastAsia="zh-CN"/>
        </w:rPr>
        <w:t>）</w:t>
      </w:r>
    </w:p>
    <w:p w14:paraId="68E01BFC">
      <w:pPr>
        <w:spacing w:line="253" w:lineRule="auto"/>
        <w:rPr>
          <w:color w:val="auto"/>
          <w:highlight w:val="none"/>
        </w:rPr>
      </w:pPr>
    </w:p>
    <w:p w14:paraId="54DC687F">
      <w:pPr>
        <w:spacing w:line="254" w:lineRule="auto"/>
        <w:rPr>
          <w:color w:val="auto"/>
          <w:highlight w:val="none"/>
        </w:rPr>
      </w:pPr>
    </w:p>
    <w:p w14:paraId="7B85AEDE">
      <w:pPr>
        <w:spacing w:line="254" w:lineRule="auto"/>
        <w:rPr>
          <w:color w:val="auto"/>
          <w:highlight w:val="none"/>
        </w:rPr>
      </w:pPr>
    </w:p>
    <w:p w14:paraId="4EE777CC">
      <w:pPr>
        <w:spacing w:before="79" w:line="220" w:lineRule="auto"/>
        <w:ind w:left="998"/>
        <w:rPr>
          <w:rFonts w:ascii="宋体" w:hAnsi="宋体" w:cs="宋体"/>
          <w:color w:val="auto"/>
          <w:sz w:val="24"/>
          <w:highlight w:val="none"/>
        </w:rPr>
      </w:pPr>
    </w:p>
    <w:p w14:paraId="7A28A4DA">
      <w:pPr>
        <w:rPr>
          <w:color w:val="auto"/>
          <w:highlight w:val="none"/>
        </w:rPr>
        <w:sectPr>
          <w:footerReference r:id="rId4" w:type="default"/>
          <w:pgSz w:w="11907" w:h="16839"/>
          <w:pgMar w:top="1118" w:right="1769" w:bottom="1233" w:left="1771" w:header="877" w:footer="982" w:gutter="0"/>
          <w:pgNumType w:fmt="decimal"/>
          <w:cols w:space="720" w:num="1"/>
        </w:sectPr>
      </w:pPr>
    </w:p>
    <w:p w14:paraId="19937672">
      <w:pPr>
        <w:keepNext w:val="0"/>
        <w:keepLines w:val="0"/>
        <w:pageBreakBefore w:val="0"/>
        <w:widowControl w:val="0"/>
        <w:numPr>
          <w:ilvl w:val="255"/>
          <w:numId w:val="0"/>
        </w:numPr>
        <w:kinsoku/>
        <w:wordWrap/>
        <w:overflowPunct/>
        <w:topLinePunct w:val="0"/>
        <w:autoSpaceDE/>
        <w:autoSpaceDN/>
        <w:bidi w:val="0"/>
        <w:adjustRightInd/>
        <w:snapToGrid/>
        <w:spacing w:line="360" w:lineRule="auto"/>
        <w:jc w:val="center"/>
        <w:textAlignment w:val="auto"/>
        <w:rPr>
          <w:rStyle w:val="39"/>
          <w:rFonts w:hint="eastAsia" w:ascii="宋体" w:hAnsi="宋体" w:eastAsia="宋体" w:cs="宋体"/>
          <w:color w:val="auto"/>
          <w:sz w:val="24"/>
          <w:szCs w:val="24"/>
          <w:highlight w:val="none"/>
        </w:rPr>
      </w:pPr>
      <w:bookmarkStart w:id="33" w:name="_Toc2581"/>
      <w:r>
        <w:rPr>
          <w:rStyle w:val="39"/>
          <w:rFonts w:hint="eastAsia" w:ascii="宋体" w:hAnsi="宋体" w:eastAsia="宋体" w:cs="宋体"/>
          <w:color w:val="auto"/>
          <w:sz w:val="24"/>
          <w:szCs w:val="24"/>
          <w:highlight w:val="none"/>
        </w:rPr>
        <w:t>第五章</w:t>
      </w:r>
      <w:r>
        <w:rPr>
          <w:rStyle w:val="39"/>
          <w:rFonts w:hint="eastAsia" w:ascii="宋体" w:hAnsi="宋体" w:cs="宋体"/>
          <w:color w:val="auto"/>
          <w:sz w:val="24"/>
          <w:szCs w:val="24"/>
          <w:highlight w:val="none"/>
        </w:rPr>
        <w:t xml:space="preserve">  </w:t>
      </w:r>
      <w:r>
        <w:rPr>
          <w:rStyle w:val="39"/>
          <w:rFonts w:hint="eastAsia" w:ascii="宋体" w:hAnsi="宋体" w:eastAsia="宋体" w:cs="宋体"/>
          <w:color w:val="auto"/>
          <w:sz w:val="24"/>
          <w:szCs w:val="24"/>
          <w:highlight w:val="none"/>
        </w:rPr>
        <w:t>采购需求</w:t>
      </w:r>
      <w:bookmarkEnd w:id="33"/>
    </w:p>
    <w:p w14:paraId="515DF485">
      <w:pPr>
        <w:keepNext w:val="0"/>
        <w:keepLines w:val="0"/>
        <w:pageBreakBefore w:val="0"/>
        <w:widowControl w:val="0"/>
        <w:numPr>
          <w:ilvl w:val="255"/>
          <w:numId w:val="0"/>
        </w:numPr>
        <w:kinsoku/>
        <w:wordWrap/>
        <w:overflowPunct/>
        <w:topLinePunct w:val="0"/>
        <w:autoSpaceDE/>
        <w:autoSpaceDN/>
        <w:bidi w:val="0"/>
        <w:adjustRightInd/>
        <w:snapToGrid/>
        <w:spacing w:line="360" w:lineRule="auto"/>
        <w:jc w:val="both"/>
        <w:textAlignment w:val="auto"/>
        <w:rPr>
          <w:rFonts w:ascii="宋体" w:hAnsi="宋体" w:cs="宋体"/>
          <w:b/>
          <w:bCs/>
          <w:color w:val="auto"/>
          <w:kern w:val="0"/>
          <w:sz w:val="24"/>
          <w:highlight w:val="none"/>
        </w:rPr>
      </w:pPr>
      <w:r>
        <w:rPr>
          <w:rFonts w:ascii="Segoe UI" w:hAnsi="Segoe UI" w:eastAsia="Segoe UI" w:cs="Segoe UI"/>
          <w:b/>
          <w:bCs/>
          <w:i w:val="0"/>
          <w:iCs w:val="0"/>
          <w:caps w:val="0"/>
          <w:color w:val="0F1115"/>
          <w:spacing w:val="0"/>
          <w:sz w:val="24"/>
          <w:szCs w:val="24"/>
          <w:highlight w:val="none"/>
          <w:shd w:val="clear" w:fill="FFFFFF"/>
        </w:rPr>
        <w:t>一、总体服务要求</w:t>
      </w:r>
    </w:p>
    <w:p w14:paraId="08677516">
      <w:pPr>
        <w:keepNext w:val="0"/>
        <w:keepLines w:val="0"/>
        <w:pageBreakBefore w:val="0"/>
        <w:widowControl w:val="0"/>
        <w:kinsoku/>
        <w:wordWrap/>
        <w:overflowPunct/>
        <w:topLinePunct w:val="0"/>
        <w:autoSpaceDE/>
        <w:autoSpaceDN/>
        <w:bidi w:val="0"/>
        <w:adjustRightInd/>
        <w:snapToGrid/>
        <w:spacing w:line="360" w:lineRule="auto"/>
        <w:textAlignment w:val="auto"/>
        <w:rPr>
          <w:rStyle w:val="39"/>
          <w:rFonts w:hint="eastAsia" w:ascii="宋体" w:hAnsi="宋体" w:eastAsia="宋体" w:cs="宋体"/>
          <w:b w:val="0"/>
          <w:bCs w:val="0"/>
          <w:color w:val="auto"/>
          <w:sz w:val="24"/>
          <w:szCs w:val="24"/>
          <w:highlight w:val="none"/>
          <w:lang w:val="en-US" w:eastAsia="zh-CN"/>
        </w:rPr>
      </w:pPr>
      <w:bookmarkStart w:id="34" w:name="_Toc20436"/>
      <w:bookmarkStart w:id="35" w:name="_Toc18671563"/>
      <w:r>
        <w:rPr>
          <w:rStyle w:val="39"/>
          <w:rFonts w:hint="eastAsia" w:ascii="宋体" w:hAnsi="宋体" w:eastAsia="宋体" w:cs="宋体"/>
          <w:b/>
          <w:bCs/>
          <w:color w:val="auto"/>
          <w:sz w:val="24"/>
          <w:szCs w:val="24"/>
          <w:highlight w:val="none"/>
        </w:rPr>
        <w:t>服务期限：</w:t>
      </w:r>
      <w:r>
        <w:rPr>
          <w:rStyle w:val="39"/>
          <w:rFonts w:hint="eastAsia" w:ascii="宋体" w:hAnsi="宋体" w:eastAsia="宋体" w:cs="宋体"/>
          <w:b w:val="0"/>
          <w:bCs w:val="0"/>
          <w:color w:val="auto"/>
          <w:sz w:val="24"/>
          <w:szCs w:val="24"/>
          <w:highlight w:val="none"/>
          <w:lang w:val="en-US" w:eastAsia="zh-CN"/>
        </w:rPr>
        <w:t>三年，自供应商为采购人开通系统服务之日起计算。</w:t>
      </w:r>
    </w:p>
    <w:p w14:paraId="420EDA24">
      <w:pPr>
        <w:keepNext w:val="0"/>
        <w:keepLines w:val="0"/>
        <w:pageBreakBefore w:val="0"/>
        <w:widowControl w:val="0"/>
        <w:kinsoku/>
        <w:wordWrap/>
        <w:overflowPunct/>
        <w:topLinePunct w:val="0"/>
        <w:autoSpaceDE/>
        <w:autoSpaceDN/>
        <w:bidi w:val="0"/>
        <w:adjustRightInd/>
        <w:snapToGrid/>
        <w:spacing w:line="360" w:lineRule="auto"/>
        <w:textAlignment w:val="auto"/>
        <w:rPr>
          <w:rStyle w:val="39"/>
          <w:rFonts w:hint="eastAsia" w:ascii="宋体" w:hAnsi="宋体" w:eastAsia="宋体" w:cs="宋体"/>
          <w:b w:val="0"/>
          <w:bCs w:val="0"/>
          <w:color w:val="auto"/>
          <w:sz w:val="24"/>
          <w:szCs w:val="24"/>
          <w:highlight w:val="none"/>
          <w:lang w:val="en-US" w:eastAsia="zh-CN"/>
        </w:rPr>
      </w:pPr>
      <w:r>
        <w:rPr>
          <w:rStyle w:val="39"/>
          <w:rFonts w:hint="eastAsia" w:ascii="宋体" w:hAnsi="宋体" w:eastAsia="宋体" w:cs="宋体"/>
          <w:b/>
          <w:bCs/>
          <w:color w:val="auto"/>
          <w:sz w:val="24"/>
          <w:szCs w:val="24"/>
          <w:highlight w:val="none"/>
        </w:rPr>
        <w:t>安装调试与培训：</w:t>
      </w:r>
      <w:r>
        <w:rPr>
          <w:rStyle w:val="39"/>
          <w:rFonts w:hint="eastAsia" w:ascii="宋体" w:hAnsi="宋体" w:eastAsia="宋体" w:cs="宋体"/>
          <w:b w:val="0"/>
          <w:bCs w:val="0"/>
          <w:color w:val="auto"/>
          <w:sz w:val="24"/>
          <w:szCs w:val="24"/>
          <w:highlight w:val="none"/>
          <w:lang w:val="en-US" w:eastAsia="zh-CN"/>
        </w:rPr>
        <w:t>供应商应安排专业技术团队，免费为采购人提供全国严重创伤救治信息交互联动系统的远程指导安装、调试及操作培训，确保系统正常稳定运行。采购人负责做好安装前的各项准备工作及人员接洽。</w:t>
      </w:r>
    </w:p>
    <w:p w14:paraId="4861478E">
      <w:pPr>
        <w:keepNext w:val="0"/>
        <w:keepLines w:val="0"/>
        <w:pageBreakBefore w:val="0"/>
        <w:widowControl w:val="0"/>
        <w:kinsoku/>
        <w:wordWrap/>
        <w:overflowPunct/>
        <w:topLinePunct w:val="0"/>
        <w:autoSpaceDE/>
        <w:autoSpaceDN/>
        <w:bidi w:val="0"/>
        <w:adjustRightInd/>
        <w:snapToGrid/>
        <w:spacing w:line="360" w:lineRule="auto"/>
        <w:textAlignment w:val="auto"/>
        <w:rPr>
          <w:rStyle w:val="39"/>
          <w:rFonts w:hint="eastAsia" w:ascii="宋体" w:hAnsi="宋体" w:eastAsia="宋体" w:cs="宋体"/>
          <w:b w:val="0"/>
          <w:bCs w:val="0"/>
          <w:color w:val="auto"/>
          <w:sz w:val="24"/>
          <w:szCs w:val="24"/>
          <w:highlight w:val="none"/>
          <w:lang w:val="en-US" w:eastAsia="zh-CN"/>
        </w:rPr>
      </w:pPr>
      <w:r>
        <w:rPr>
          <w:rStyle w:val="39"/>
          <w:rFonts w:hint="eastAsia" w:ascii="宋体" w:hAnsi="宋体" w:eastAsia="宋体" w:cs="宋体"/>
          <w:b/>
          <w:bCs/>
          <w:color w:val="auto"/>
          <w:sz w:val="24"/>
          <w:szCs w:val="24"/>
          <w:highlight w:val="none"/>
        </w:rPr>
        <w:t>系统运维与升级：</w:t>
      </w:r>
      <w:r>
        <w:rPr>
          <w:rStyle w:val="39"/>
          <w:rFonts w:hint="eastAsia" w:ascii="宋体" w:hAnsi="宋体" w:eastAsia="宋体" w:cs="宋体"/>
          <w:b w:val="0"/>
          <w:bCs w:val="0"/>
          <w:color w:val="auto"/>
          <w:sz w:val="24"/>
          <w:szCs w:val="24"/>
          <w:highlight w:val="none"/>
          <w:lang w:val="en-US" w:eastAsia="zh-CN"/>
        </w:rPr>
        <w:t>供应商负责软件及云端服务器的日常运维，并提供持续更新服务，确保系统功能与国家创伤医学中心的最新要求保持一致。</w:t>
      </w:r>
    </w:p>
    <w:p w14:paraId="6637C670">
      <w:pPr>
        <w:keepNext w:val="0"/>
        <w:keepLines w:val="0"/>
        <w:pageBreakBefore w:val="0"/>
        <w:widowControl w:val="0"/>
        <w:kinsoku/>
        <w:wordWrap/>
        <w:overflowPunct/>
        <w:topLinePunct w:val="0"/>
        <w:autoSpaceDE/>
        <w:autoSpaceDN/>
        <w:bidi w:val="0"/>
        <w:adjustRightInd/>
        <w:snapToGrid/>
        <w:spacing w:line="360" w:lineRule="auto"/>
        <w:textAlignment w:val="auto"/>
        <w:rPr>
          <w:rStyle w:val="39"/>
          <w:rFonts w:hint="eastAsia" w:ascii="宋体" w:hAnsi="宋体" w:eastAsia="宋体" w:cs="宋体"/>
          <w:b w:val="0"/>
          <w:bCs w:val="0"/>
          <w:color w:val="auto"/>
          <w:sz w:val="24"/>
          <w:szCs w:val="24"/>
          <w:highlight w:val="none"/>
          <w:lang w:val="en-US" w:eastAsia="zh-CN"/>
        </w:rPr>
      </w:pPr>
      <w:r>
        <w:rPr>
          <w:rStyle w:val="39"/>
          <w:rFonts w:hint="eastAsia" w:ascii="宋体" w:hAnsi="宋体" w:eastAsia="宋体" w:cs="宋体"/>
          <w:b/>
          <w:bCs/>
          <w:color w:val="auto"/>
          <w:sz w:val="24"/>
          <w:szCs w:val="24"/>
          <w:highlight w:val="none"/>
        </w:rPr>
        <w:t>售后服务：</w:t>
      </w:r>
      <w:r>
        <w:rPr>
          <w:rStyle w:val="39"/>
          <w:rFonts w:hint="eastAsia" w:ascii="宋体" w:hAnsi="宋体" w:eastAsia="宋体" w:cs="宋体"/>
          <w:b w:val="0"/>
          <w:bCs w:val="0"/>
          <w:color w:val="auto"/>
          <w:sz w:val="24"/>
          <w:szCs w:val="24"/>
          <w:highlight w:val="none"/>
          <w:lang w:val="en-US" w:eastAsia="zh-CN"/>
        </w:rPr>
        <w:t>供应商应提供7×24小时远程技术支持服务。在接到采购人通过电话、邮件、传真等方式提出的技术服务咨询后，应在24小时内给予响应，及时协助解决系统使用中的问题。</w:t>
      </w:r>
    </w:p>
    <w:p w14:paraId="4F857F74">
      <w:pPr>
        <w:keepNext w:val="0"/>
        <w:keepLines w:val="0"/>
        <w:pageBreakBefore w:val="0"/>
        <w:widowControl w:val="0"/>
        <w:kinsoku/>
        <w:wordWrap/>
        <w:overflowPunct/>
        <w:topLinePunct w:val="0"/>
        <w:autoSpaceDE/>
        <w:autoSpaceDN/>
        <w:bidi w:val="0"/>
        <w:adjustRightInd/>
        <w:snapToGrid/>
        <w:spacing w:line="360" w:lineRule="auto"/>
        <w:textAlignment w:val="auto"/>
        <w:rPr>
          <w:rStyle w:val="39"/>
          <w:rFonts w:hint="eastAsia" w:ascii="宋体" w:hAnsi="宋体" w:eastAsia="宋体" w:cs="宋体"/>
          <w:b w:val="0"/>
          <w:bCs w:val="0"/>
          <w:color w:val="auto"/>
          <w:sz w:val="24"/>
          <w:szCs w:val="24"/>
          <w:highlight w:val="none"/>
        </w:rPr>
      </w:pPr>
      <w:r>
        <w:rPr>
          <w:rStyle w:val="39"/>
          <w:rFonts w:hint="eastAsia" w:ascii="宋体" w:hAnsi="宋体" w:eastAsia="宋体" w:cs="宋体"/>
          <w:b/>
          <w:bCs/>
          <w:color w:val="auto"/>
          <w:sz w:val="24"/>
          <w:szCs w:val="24"/>
          <w:highlight w:val="none"/>
        </w:rPr>
        <w:t>数据服务：</w:t>
      </w:r>
      <w:r>
        <w:rPr>
          <w:rStyle w:val="39"/>
          <w:rFonts w:hint="eastAsia" w:ascii="宋体" w:hAnsi="宋体" w:eastAsia="宋体" w:cs="宋体"/>
          <w:b w:val="0"/>
          <w:bCs w:val="0"/>
          <w:color w:val="auto"/>
          <w:sz w:val="24"/>
          <w:szCs w:val="24"/>
          <w:highlight w:val="none"/>
          <w:lang w:val="en-US" w:eastAsia="zh-CN"/>
        </w:rPr>
        <w:t>供应商支持以报表形式将后台数据供采购人按需下载参考，数据存储、整理及推送相关工作。</w:t>
      </w:r>
      <w:r>
        <w:rPr>
          <w:rStyle w:val="39"/>
          <w:rFonts w:hint="eastAsia" w:ascii="宋体" w:hAnsi="宋体" w:eastAsia="宋体" w:cs="宋体"/>
          <w:b w:val="0"/>
          <w:bCs w:val="0"/>
          <w:color w:val="auto"/>
          <w:sz w:val="24"/>
          <w:szCs w:val="24"/>
          <w:highlight w:val="none"/>
          <w:lang w:val="en-US" w:eastAsia="zh-CN"/>
        </w:rPr>
        <w:br w:type="textWrapping"/>
      </w:r>
      <w:r>
        <w:rPr>
          <w:rFonts w:ascii="Segoe UI" w:hAnsi="Segoe UI" w:eastAsia="Segoe UI" w:cs="Segoe UI"/>
          <w:b/>
          <w:bCs/>
          <w:i w:val="0"/>
          <w:iCs w:val="0"/>
          <w:caps w:val="0"/>
          <w:color w:val="0F1115"/>
          <w:spacing w:val="0"/>
          <w:sz w:val="24"/>
          <w:szCs w:val="24"/>
          <w:highlight w:val="none"/>
          <w:shd w:val="clear" w:fill="FFFFFF"/>
        </w:rPr>
        <w:t>二、具体服务功能</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426"/>
        <w:gridCol w:w="960"/>
        <w:gridCol w:w="1418"/>
        <w:gridCol w:w="3718"/>
      </w:tblGrid>
      <w:tr w14:paraId="3648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2426" w:type="dxa"/>
            <w:shd w:val="clear" w:color="auto" w:fill="auto"/>
            <w:vAlign w:val="center"/>
          </w:tcPr>
          <w:p w14:paraId="71E8924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服务名称</w:t>
            </w:r>
          </w:p>
        </w:tc>
        <w:tc>
          <w:tcPr>
            <w:tcW w:w="0" w:type="auto"/>
            <w:shd w:val="clear" w:color="auto" w:fill="auto"/>
            <w:vAlign w:val="center"/>
          </w:tcPr>
          <w:p w14:paraId="224CD77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24"/>
                <w:szCs w:val="24"/>
                <w:highlight w:val="none"/>
                <w:u w:val="none"/>
                <w:lang w:val="en-US"/>
              </w:rPr>
            </w:pPr>
            <w:r>
              <w:rPr>
                <w:rFonts w:hint="eastAsia" w:ascii="宋体" w:hAnsi="宋体" w:eastAsia="宋体" w:cs="宋体"/>
                <w:b/>
                <w:bCs/>
                <w:i w:val="0"/>
                <w:iCs w:val="0"/>
                <w:color w:val="000000"/>
                <w:kern w:val="0"/>
                <w:sz w:val="24"/>
                <w:szCs w:val="24"/>
                <w:highlight w:val="none"/>
                <w:u w:val="none"/>
                <w:lang w:val="en-US" w:eastAsia="zh-CN" w:bidi="ar"/>
              </w:rPr>
              <w:t>系统服务</w:t>
            </w:r>
          </w:p>
        </w:tc>
        <w:tc>
          <w:tcPr>
            <w:tcW w:w="0" w:type="auto"/>
            <w:shd w:val="clear" w:color="auto" w:fill="auto"/>
            <w:vAlign w:val="center"/>
          </w:tcPr>
          <w:p w14:paraId="44ED0C9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服务功能</w:t>
            </w:r>
          </w:p>
        </w:tc>
        <w:tc>
          <w:tcPr>
            <w:tcW w:w="3718" w:type="dxa"/>
            <w:shd w:val="clear" w:color="auto" w:fill="auto"/>
            <w:vAlign w:val="center"/>
          </w:tcPr>
          <w:p w14:paraId="031D8A9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服务内容</w:t>
            </w:r>
          </w:p>
        </w:tc>
      </w:tr>
      <w:tr w14:paraId="7DDD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restart"/>
            <w:shd w:val="clear" w:color="auto" w:fill="auto"/>
            <w:vAlign w:val="center"/>
          </w:tcPr>
          <w:p w14:paraId="7066D51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全国严重创伤救治信息交互联动系统服务</w:t>
            </w:r>
          </w:p>
        </w:tc>
        <w:tc>
          <w:tcPr>
            <w:tcW w:w="0" w:type="auto"/>
            <w:vMerge w:val="restart"/>
            <w:shd w:val="clear" w:color="auto" w:fill="auto"/>
            <w:vAlign w:val="center"/>
          </w:tcPr>
          <w:p w14:paraId="0014A93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移动端</w:t>
            </w:r>
          </w:p>
        </w:tc>
        <w:tc>
          <w:tcPr>
            <w:tcW w:w="0" w:type="auto"/>
            <w:shd w:val="clear" w:color="auto" w:fill="auto"/>
            <w:vAlign w:val="center"/>
          </w:tcPr>
          <w:p w14:paraId="2CAA84D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院前院内协同</w:t>
            </w:r>
          </w:p>
        </w:tc>
        <w:tc>
          <w:tcPr>
            <w:tcW w:w="3718" w:type="dxa"/>
            <w:shd w:val="clear" w:color="auto" w:fill="auto"/>
            <w:vAlign w:val="center"/>
          </w:tcPr>
          <w:p w14:paraId="4F79821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1、支持一键将文本、图像、语音、视频生成患者档案，保留原始信息，并支持将群聊信息合并至对应病历。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2、支持创建院际协作组，可组建本院与外院专家协作群。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3、支持患者急救信息分享功能，可将信息分享到其他协作组中。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4、患者伤情变化时自动触发预警，及时推送至院内相关科室。</w:t>
            </w:r>
          </w:p>
        </w:tc>
      </w:tr>
      <w:tr w14:paraId="1C90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28C86800">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27F9768C">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53A0876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院前急救信息预警联动</w:t>
            </w:r>
          </w:p>
        </w:tc>
        <w:tc>
          <w:tcPr>
            <w:tcW w:w="3718" w:type="dxa"/>
            <w:shd w:val="clear" w:color="auto" w:fill="auto"/>
            <w:vAlign w:val="center"/>
          </w:tcPr>
          <w:p w14:paraId="43D78CC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1、支持院前智能预警医院，院内实时获取院前信息，告知终端会进行声音提醒，医院医护人员可确认并接收预警。并支持延时接收预警。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2、支持一键预警并发起MDT功能，院内急救医护人员可及时了解患者情况并提前做好急救准备工作，提高救治效率。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3、支持院前发起个人呼叫和 MDT呼叫，被呼叫人员会收到语音电话提醒查看并签到。</w:t>
            </w:r>
          </w:p>
        </w:tc>
      </w:tr>
      <w:tr w14:paraId="22BA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79DF3283">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105AF0C9">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51DF191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移动会诊系统</w:t>
            </w:r>
          </w:p>
        </w:tc>
        <w:tc>
          <w:tcPr>
            <w:tcW w:w="3718" w:type="dxa"/>
            <w:shd w:val="clear" w:color="auto" w:fill="auto"/>
            <w:vAlign w:val="center"/>
          </w:tcPr>
          <w:p w14:paraId="348C52A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1、院前急救团队可发起与院内专家的实时音视频会诊，支持在视频过程中静音以及切换前置、后置摄像头。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2、支持查看远程音视频会诊的呼叫记录。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3、支持院前急救医护人员暂时退出后再次进入会诊。</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4、支持参会人员输入会诊意见，且在会诊过程中可添加新会诊人员进入线上会诊。</w:t>
            </w:r>
          </w:p>
        </w:tc>
      </w:tr>
      <w:tr w14:paraId="7328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255BF905">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1BD6A38F">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62AF971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转诊模块</w:t>
            </w:r>
          </w:p>
        </w:tc>
        <w:tc>
          <w:tcPr>
            <w:tcW w:w="3718" w:type="dxa"/>
            <w:shd w:val="clear" w:color="auto" w:fill="auto"/>
            <w:vAlign w:val="center"/>
          </w:tcPr>
          <w:p w14:paraId="57D1917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1、支持同级医院间以及特定区域内下级医院向上级医院的严重患者转院功能。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2、支持转入医院的医护人员在规定时效内查看患者在转出医院的历史病历信息。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3、支持在患者病历主页增加转入、转出的操作标识。</w:t>
            </w:r>
          </w:p>
        </w:tc>
      </w:tr>
      <w:tr w14:paraId="5C5A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4AB8D5E7">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0A570E9B">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69DE2AD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患者情况一览表</w:t>
            </w:r>
          </w:p>
        </w:tc>
        <w:tc>
          <w:tcPr>
            <w:tcW w:w="3718" w:type="dxa"/>
            <w:shd w:val="clear" w:color="auto" w:fill="auto"/>
            <w:vAlign w:val="center"/>
          </w:tcPr>
          <w:p w14:paraId="5E14F2D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1、支持展示转送实况，快速记录转运时间点记录。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2、支持展示患者基本信息、主诉、生命体征、评分等信息。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3、支持展示患者列表，实现全院创伤患者信息的智能切换。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4、支持院前急救团队与院内急诊急救团队进行实时音视频会诊通话。</w:t>
            </w:r>
          </w:p>
        </w:tc>
      </w:tr>
      <w:tr w14:paraId="5ECB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6ACFD892">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3D05E551">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46BABB6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智能输入</w:t>
            </w:r>
          </w:p>
        </w:tc>
        <w:tc>
          <w:tcPr>
            <w:tcW w:w="3718" w:type="dxa"/>
            <w:shd w:val="clear" w:color="auto" w:fill="auto"/>
            <w:vAlign w:val="center"/>
          </w:tcPr>
          <w:p w14:paraId="7F0821A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1、支持身份证图片识别，简化创建患者功能。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2、支持通过语音录入快速生成结构化电子病历，提高登记的效率。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3、支持多模态数据录入，涵盖文本、声音、视频、图片等信息，并可将这些数据合并至患者信息中，确保院前患者信息完整。</w:t>
            </w:r>
          </w:p>
        </w:tc>
      </w:tr>
      <w:tr w14:paraId="03DE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5067033C">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40514782">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51C095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院前急救电子病历系统</w:t>
            </w:r>
          </w:p>
        </w:tc>
        <w:tc>
          <w:tcPr>
            <w:tcW w:w="3718" w:type="dxa"/>
            <w:shd w:val="clear" w:color="auto" w:fill="auto"/>
            <w:vAlign w:val="center"/>
          </w:tcPr>
          <w:p w14:paraId="259DF8B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1、支持录入创伤患者的基本信息、院前急救电子病历信息等。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2、支持查看创伤患者的TI评分、GCS评分和ISS/AIS评分结果和明细。</w:t>
            </w:r>
          </w:p>
        </w:tc>
      </w:tr>
      <w:tr w14:paraId="5E4F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2E5B09A2">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4FD425AC">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46F2EB1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急救病历填报</w:t>
            </w:r>
          </w:p>
        </w:tc>
        <w:tc>
          <w:tcPr>
            <w:tcW w:w="3718" w:type="dxa"/>
            <w:shd w:val="clear" w:color="auto" w:fill="auto"/>
            <w:vAlign w:val="center"/>
          </w:tcPr>
          <w:p w14:paraId="0F8F764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1、支持通过关键字模糊检索、不同时间范围、数据状态等条件进行快速检索。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2、填报或编辑患者数据时，提供数据暂存和保存功能。暂存时只校验已填写字段的有效性和合理性，提升填写便捷性。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3、电子病历系统各模块提供缺项必填字段数提醒，对填写完整模块给予提示，可快速定位缺项。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4、提供时间节点字段逻辑校验与提示功能。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5、支持自动计算患者数据填报完整度、一键预览填写结果，同时提供 TI、GCS、ISS/AIS 评分工具。</w:t>
            </w:r>
          </w:p>
        </w:tc>
      </w:tr>
      <w:tr w14:paraId="02A7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027869A6">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7738C8D9">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28D9625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移动交接</w:t>
            </w:r>
          </w:p>
        </w:tc>
        <w:tc>
          <w:tcPr>
            <w:tcW w:w="3718" w:type="dxa"/>
            <w:shd w:val="clear" w:color="auto" w:fill="auto"/>
            <w:vAlign w:val="center"/>
          </w:tcPr>
          <w:p w14:paraId="321355E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1、支持自动生成院前院内交接单，交接单签字。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2、支持预览院前院内交接单。</w:t>
            </w:r>
          </w:p>
        </w:tc>
      </w:tr>
      <w:tr w14:paraId="5A4D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7E2FE0E4">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restart"/>
            <w:shd w:val="clear" w:color="auto" w:fill="auto"/>
            <w:vAlign w:val="center"/>
          </w:tcPr>
          <w:p w14:paraId="4174F6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电脑端</w:t>
            </w:r>
          </w:p>
        </w:tc>
        <w:tc>
          <w:tcPr>
            <w:tcW w:w="0" w:type="auto"/>
            <w:shd w:val="clear" w:color="auto" w:fill="auto"/>
            <w:vAlign w:val="center"/>
          </w:tcPr>
          <w:p w14:paraId="1F78356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院前院内协同</w:t>
            </w:r>
          </w:p>
        </w:tc>
        <w:tc>
          <w:tcPr>
            <w:tcW w:w="3718" w:type="dxa"/>
            <w:shd w:val="clear" w:color="auto" w:fill="auto"/>
            <w:vAlign w:val="center"/>
          </w:tcPr>
          <w:p w14:paraId="6718495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1、支持一键将文本、图像、语音、视频生成患者档案，保留原始信息，并支持将群聊信息合并至对应病历。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2、支持实时获取院前急救团队和院内医护人员提交的患者信息，提前准备医疗资源。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3、支持创建院际协作组，可组建本院与外院专家协作群。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4、支持分享功能，患者急救信息可以分享到多个协作组中，为远程会诊提供支持。</w:t>
            </w:r>
          </w:p>
        </w:tc>
      </w:tr>
      <w:tr w14:paraId="30C6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4C4B9EEB">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6A234A5F">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17F5C9E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院前院内预警联动</w:t>
            </w:r>
          </w:p>
        </w:tc>
        <w:tc>
          <w:tcPr>
            <w:tcW w:w="3718" w:type="dxa"/>
            <w:shd w:val="clear" w:color="auto" w:fill="auto"/>
            <w:vAlign w:val="center"/>
          </w:tcPr>
          <w:p w14:paraId="043075E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1、支持实时接收院前智能预警信息，院内告知终端会收到声音提醒，医院医护人员可确认并接收预警。并支持延时接收预警。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2、支持院内发起个人呼叫和MDT呼叫功能，通知其他科室医生进行会诊。被呼叫人员会收到语音电话提醒查看并签到。</w:t>
            </w:r>
          </w:p>
        </w:tc>
      </w:tr>
      <w:tr w14:paraId="02C0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1D841EA5">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5855B59D">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6231F4B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远程会诊系统</w:t>
            </w:r>
          </w:p>
        </w:tc>
        <w:tc>
          <w:tcPr>
            <w:tcW w:w="3718" w:type="dxa"/>
            <w:shd w:val="clear" w:color="auto" w:fill="auto"/>
            <w:vAlign w:val="center"/>
          </w:tcPr>
          <w:p w14:paraId="248143A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1、支持院前急救团队与院内急诊急救团队进行实时音视频会诊通话。</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2、支持查看远程音视频会诊的呼叫记录。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3、支持暂时退出后再次进入会诊，且支持参会人员输入会诊意见。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4、支持会诊过程中添加新的会诊人员进入线上会诊。</w:t>
            </w:r>
          </w:p>
        </w:tc>
      </w:tr>
      <w:tr w14:paraId="6E60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73BE1996">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0A1D1096">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30E3DC5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急救电子病历系统</w:t>
            </w:r>
          </w:p>
        </w:tc>
        <w:tc>
          <w:tcPr>
            <w:tcW w:w="3718" w:type="dxa"/>
            <w:shd w:val="clear" w:color="auto" w:fill="auto"/>
            <w:vAlign w:val="center"/>
          </w:tcPr>
          <w:p w14:paraId="5DE34B2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1、支持录入创伤患者的基本信息、院前急救电子病历信息、门急诊信息、住院信息等。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2、支持查看创伤患者的TI评分、GCS评分和ISS/AIS评分结果和明细。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3、在病历系统中可直观查看患者时间轴，自动归集并展示全流程关键救治节点信息，同时展示国家创伤医学中心要求的 19 项质控指标结果。</w:t>
            </w:r>
          </w:p>
        </w:tc>
      </w:tr>
      <w:tr w14:paraId="4113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0BBD15D0">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3735D420">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46C8E07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评分工具</w:t>
            </w:r>
          </w:p>
        </w:tc>
        <w:tc>
          <w:tcPr>
            <w:tcW w:w="3718" w:type="dxa"/>
            <w:shd w:val="clear" w:color="auto" w:fill="auto"/>
            <w:vAlign w:val="center"/>
          </w:tcPr>
          <w:p w14:paraId="3A29BFC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1、提供创伤患者院前使用的TI评分、GCS评分工具。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2、提供院内医生使用的ISS/AIS评分工具，支持多次评估。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3、支持所有评分工具快速点选评分项，将不同分级的评估结果用不同颜色高亮展示。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4、所有创伤评分工具均支持新增、查看、编辑、删除的功能。</w:t>
            </w:r>
          </w:p>
        </w:tc>
      </w:tr>
      <w:tr w14:paraId="790E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66CD2BEA">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38C78694">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236E8E9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创伤病例上报系统</w:t>
            </w:r>
          </w:p>
        </w:tc>
        <w:tc>
          <w:tcPr>
            <w:tcW w:w="3718" w:type="dxa"/>
            <w:shd w:val="clear" w:color="auto" w:fill="auto"/>
            <w:vAlign w:val="center"/>
          </w:tcPr>
          <w:p w14:paraId="64EDF49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1、支持常用条件快速检索，涵盖关键字模糊检索、不同时间范围、严重创伤病人及病人分类等；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2、支持高级查询功能，支持系统全变量字段条件或条件组的与、或、非组合查询，不同字段类型（文本、数值）对应不同检索关系。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3、可将高级检索常用条件保存为模板，实现一键快速调用搜索。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4、支持填报或编辑患者数据的暂存和保存功能，暂存仅校验已填字段，便于快速填写。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5、电子病历各模块提供缺项必填字段数提醒与填写完整提示，还具备时间节点字段先后逻辑校验与提示。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6、提取患者关键诊疗时间节点生成时间轴，支持时间轴收起、展开等操作。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7、支持按照数据状态分别展示患者数据，并支持批量上报操作。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8、支持自动计算并展示患者数据填报完整度，同时支持一键预览填写结果，方便自查是否符合上报要求。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9、支持查看已上报及上报失败的数据，并支持二次上报。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10、支持与国家创伤医学中心数据库进行上报对接。</w:t>
            </w:r>
          </w:p>
        </w:tc>
      </w:tr>
      <w:tr w14:paraId="631D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3BFC45DC">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48E5D8D7">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04319C9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质控会议上报系统</w:t>
            </w:r>
          </w:p>
        </w:tc>
        <w:tc>
          <w:tcPr>
            <w:tcW w:w="3718" w:type="dxa"/>
            <w:shd w:val="clear" w:color="auto" w:fill="auto"/>
            <w:vAlign w:val="center"/>
          </w:tcPr>
          <w:p w14:paraId="7D2691F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1.支持在例会管理列表展示会议主题、开会日期、状态和操作信息。并支持快速筛选功能。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2.支持对例会进行上报、新增、编辑和删除等操作。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3.支持会议签到表和会议纪要模板下载。并支持上传会议照片、签到表和会议纪要。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4.支持与国家创伤医学中心进行数据对接，完成例会上报。</w:t>
            </w:r>
          </w:p>
        </w:tc>
      </w:tr>
      <w:tr w14:paraId="501F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7F968DDC">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5B9804E4">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49A8C6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质控管理系统</w:t>
            </w:r>
          </w:p>
        </w:tc>
        <w:tc>
          <w:tcPr>
            <w:tcW w:w="3718" w:type="dxa"/>
            <w:shd w:val="clear" w:color="auto" w:fill="auto"/>
            <w:vAlign w:val="center"/>
          </w:tcPr>
          <w:p w14:paraId="547CEA5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1、一览展示19项创伤质控指标（《创伤中心医疗质量控制指标（试行）》），统计本院上周或特定时间段的质控指标。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2、针对分钟计算结果类的指标，统计对应的平均值和中位数。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3、支持统计指标与国家创伤医学中心的平均值、本医院所在省份平均值、本医院所在市平均值进行对比，对比结果支持高亮提示。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4、支持将19项质控指标以图片或表格的形式导出。</w:t>
            </w:r>
          </w:p>
        </w:tc>
      </w:tr>
      <w:tr w14:paraId="284B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03899770">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vMerge w:val="continue"/>
            <w:shd w:val="clear" w:color="auto" w:fill="auto"/>
            <w:vAlign w:val="center"/>
          </w:tcPr>
          <w:p w14:paraId="72D7EBB4">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0" w:type="auto"/>
            <w:shd w:val="clear" w:color="auto" w:fill="auto"/>
            <w:vAlign w:val="center"/>
          </w:tcPr>
          <w:p w14:paraId="7ABA23A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基本周报</w:t>
            </w:r>
          </w:p>
        </w:tc>
        <w:tc>
          <w:tcPr>
            <w:tcW w:w="3718" w:type="dxa"/>
            <w:shd w:val="clear" w:color="auto" w:fill="auto"/>
            <w:vAlign w:val="center"/>
          </w:tcPr>
          <w:p w14:paraId="4B105A8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1、支持展示与统计分析患者上报数据，按规格呈现每周上报数据量及总体质量。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2、支持在周报中展示全国排名和省排名。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3、支持按年、月、周检索时间范围内的周报数据。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4、支持查看历史不同周期周报的变化趋势，趋势图支持放大、下载、图标切换等功能。</w:t>
            </w:r>
          </w:p>
        </w:tc>
      </w:tr>
      <w:tr w14:paraId="6F6B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26" w:type="dxa"/>
            <w:vMerge w:val="continue"/>
            <w:shd w:val="clear" w:color="auto" w:fill="auto"/>
            <w:vAlign w:val="center"/>
          </w:tcPr>
          <w:p w14:paraId="506A3854">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1176" w:type="dxa"/>
            <w:vMerge w:val="continue"/>
            <w:shd w:val="clear" w:color="auto" w:fill="auto"/>
            <w:vAlign w:val="center"/>
          </w:tcPr>
          <w:p w14:paraId="60D2D430">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c>
          <w:tcPr>
            <w:tcW w:w="1418" w:type="dxa"/>
            <w:shd w:val="clear" w:color="auto" w:fill="auto"/>
            <w:vAlign w:val="center"/>
          </w:tcPr>
          <w:p w14:paraId="22BDD21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预警记录</w:t>
            </w:r>
          </w:p>
        </w:tc>
        <w:tc>
          <w:tcPr>
            <w:tcW w:w="3718" w:type="dxa"/>
            <w:shd w:val="clear" w:color="auto" w:fill="auto"/>
            <w:vAlign w:val="center"/>
          </w:tcPr>
          <w:p w14:paraId="4D1DDE5B">
            <w:pPr>
              <w:keepNext w:val="0"/>
              <w:keepLines w:val="0"/>
              <w:widowControl/>
              <w:numPr>
                <w:ilvl w:val="0"/>
                <w:numId w:val="1"/>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支持查看历史预警记录、呼叫MDT记录、会诊记录。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2、支持对时效内的预警和历史呼叫记录进行操作；对时效外的呼叫MDT进行补签操作。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3、支持查看历史记录的接听和签到状态。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4、支持填写音视频记录的会诊意见功能。</w:t>
            </w:r>
          </w:p>
        </w:tc>
      </w:tr>
    </w:tbl>
    <w:p w14:paraId="1A94D0A3">
      <w:pPr>
        <w:rPr>
          <w:rStyle w:val="39"/>
          <w:rFonts w:hint="eastAsia" w:ascii="宋体" w:hAnsi="宋体" w:eastAsia="宋体" w:cs="宋体"/>
          <w:b/>
          <w:bCs/>
          <w:color w:val="auto"/>
          <w:sz w:val="24"/>
          <w:szCs w:val="24"/>
          <w:highlight w:val="none"/>
        </w:rPr>
      </w:pPr>
    </w:p>
    <w:p w14:paraId="1A703633">
      <w:pPr>
        <w:rPr>
          <w:rStyle w:val="39"/>
          <w:rFonts w:hint="eastAsia" w:ascii="宋体" w:hAnsi="宋体" w:eastAsia="宋体" w:cs="宋体"/>
          <w:b/>
          <w:bCs/>
          <w:color w:val="auto"/>
          <w:sz w:val="24"/>
          <w:szCs w:val="24"/>
          <w:highlight w:val="none"/>
          <w:lang w:val="en-US" w:eastAsia="zh-CN"/>
        </w:rPr>
      </w:pPr>
    </w:p>
    <w:p w14:paraId="36E7EE39">
      <w:pPr>
        <w:rPr>
          <w:rStyle w:val="39"/>
          <w:rFonts w:hint="eastAsia" w:ascii="宋体" w:hAnsi="宋体" w:eastAsia="宋体" w:cs="宋体"/>
          <w:b/>
          <w:bCs/>
          <w:color w:val="auto"/>
          <w:sz w:val="24"/>
          <w:szCs w:val="24"/>
          <w:highlight w:val="none"/>
        </w:rPr>
      </w:pPr>
      <w:r>
        <w:rPr>
          <w:rStyle w:val="39"/>
          <w:rFonts w:hint="eastAsia" w:ascii="宋体" w:hAnsi="宋体" w:eastAsia="宋体" w:cs="宋体"/>
          <w:b/>
          <w:bCs/>
          <w:color w:val="auto"/>
          <w:sz w:val="24"/>
          <w:szCs w:val="24"/>
          <w:highlight w:val="none"/>
        </w:rPr>
        <w:br w:type="page"/>
      </w:r>
    </w:p>
    <w:p w14:paraId="2D046251">
      <w:pPr>
        <w:pStyle w:val="3"/>
        <w:spacing w:before="156" w:beforeLines="50" w:after="156" w:afterLines="50" w:line="560" w:lineRule="exact"/>
        <w:jc w:val="center"/>
        <w:rPr>
          <w:rFonts w:asciiTheme="minorEastAsia" w:hAnsiTheme="minorEastAsia" w:eastAsiaTheme="minorEastAsia" w:cstheme="minorEastAsia"/>
          <w:color w:val="auto"/>
          <w:sz w:val="24"/>
          <w:szCs w:val="24"/>
          <w:highlight w:val="none"/>
        </w:rPr>
      </w:pPr>
      <w:r>
        <w:rPr>
          <w:rStyle w:val="39"/>
          <w:rFonts w:hint="eastAsia" w:ascii="宋体" w:hAnsi="宋体" w:eastAsia="宋体" w:cs="宋体"/>
          <w:b/>
          <w:bCs/>
          <w:color w:val="auto"/>
          <w:sz w:val="24"/>
          <w:szCs w:val="24"/>
          <w:highlight w:val="none"/>
        </w:rPr>
        <w:t>第六章  单一来源响应</w:t>
      </w:r>
      <w:bookmarkEnd w:id="28"/>
      <w:bookmarkEnd w:id="29"/>
      <w:r>
        <w:rPr>
          <w:rStyle w:val="39"/>
          <w:rFonts w:hint="eastAsia" w:ascii="宋体" w:hAnsi="宋体" w:eastAsia="宋体" w:cs="宋体"/>
          <w:b/>
          <w:bCs/>
          <w:color w:val="auto"/>
          <w:sz w:val="24"/>
          <w:szCs w:val="24"/>
          <w:highlight w:val="none"/>
        </w:rPr>
        <w:t>文件</w:t>
      </w:r>
      <w:bookmarkEnd w:id="34"/>
      <w:bookmarkEnd w:id="35"/>
    </w:p>
    <w:p w14:paraId="01EBFB01">
      <w:pPr>
        <w:rPr>
          <w:rFonts w:asciiTheme="minorEastAsia" w:hAnsiTheme="minorEastAsia" w:eastAsiaTheme="minorEastAsia" w:cstheme="minorEastAsia"/>
          <w:color w:val="auto"/>
          <w:sz w:val="24"/>
          <w:highlight w:val="none"/>
        </w:rPr>
      </w:pPr>
    </w:p>
    <w:p w14:paraId="541E886E">
      <w:pPr>
        <w:jc w:val="center"/>
        <w:rPr>
          <w:rFonts w:hint="default"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 xml:space="preserve">                                                         正本/副本</w:t>
      </w:r>
    </w:p>
    <w:p w14:paraId="39B17D30">
      <w:pPr>
        <w:rPr>
          <w:rFonts w:asciiTheme="minorEastAsia" w:hAnsiTheme="minorEastAsia" w:eastAsiaTheme="minorEastAsia" w:cstheme="minorEastAsia"/>
          <w:b/>
          <w:color w:val="auto"/>
          <w:sz w:val="24"/>
          <w:highlight w:val="none"/>
        </w:rPr>
      </w:pPr>
    </w:p>
    <w:p w14:paraId="0525903B">
      <w:pPr>
        <w:spacing w:before="156" w:beforeLines="50" w:after="156" w:afterLines="50"/>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单一来源响应文件</w:t>
      </w:r>
    </w:p>
    <w:p w14:paraId="7F420412">
      <w:pPr>
        <w:spacing w:before="156" w:beforeLines="50" w:after="156" w:afterLines="50"/>
        <w:jc w:val="center"/>
        <w:rPr>
          <w:rFonts w:asciiTheme="minorEastAsia" w:hAnsiTheme="minorEastAsia" w:eastAsiaTheme="minorEastAsia" w:cstheme="minorEastAsia"/>
          <w:color w:val="auto"/>
          <w:sz w:val="24"/>
          <w:highlight w:val="none"/>
        </w:rPr>
      </w:pPr>
    </w:p>
    <w:p w14:paraId="086C5BFE">
      <w:pPr>
        <w:spacing w:before="156" w:beforeLines="50" w:after="156" w:afterLines="50"/>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（封面）</w:t>
      </w:r>
    </w:p>
    <w:p w14:paraId="04D32E0B">
      <w:pPr>
        <w:jc w:val="center"/>
        <w:rPr>
          <w:rFonts w:asciiTheme="minorEastAsia" w:hAnsiTheme="minorEastAsia" w:eastAsiaTheme="minorEastAsia" w:cstheme="minorEastAsia"/>
          <w:color w:val="auto"/>
          <w:sz w:val="24"/>
          <w:highlight w:val="none"/>
        </w:rPr>
      </w:pPr>
    </w:p>
    <w:p w14:paraId="5445226B">
      <w:pPr>
        <w:jc w:val="center"/>
        <w:rPr>
          <w:rFonts w:asciiTheme="minorEastAsia" w:hAnsiTheme="minorEastAsia" w:eastAsiaTheme="minorEastAsia" w:cstheme="minorEastAsia"/>
          <w:color w:val="auto"/>
          <w:sz w:val="24"/>
          <w:highlight w:val="none"/>
        </w:rPr>
      </w:pPr>
    </w:p>
    <w:p w14:paraId="399070E6">
      <w:pPr>
        <w:jc w:val="center"/>
        <w:rPr>
          <w:rFonts w:asciiTheme="minorEastAsia" w:hAnsiTheme="minorEastAsia" w:eastAsiaTheme="minorEastAsia" w:cstheme="minorEastAsia"/>
          <w:color w:val="auto"/>
          <w:sz w:val="24"/>
          <w:highlight w:val="none"/>
        </w:rPr>
      </w:pPr>
    </w:p>
    <w:p w14:paraId="5932C21F">
      <w:pPr>
        <w:rPr>
          <w:rFonts w:asciiTheme="minorEastAsia" w:hAnsiTheme="minorEastAsia" w:eastAsiaTheme="minorEastAsia" w:cstheme="minorEastAsia"/>
          <w:color w:val="auto"/>
          <w:sz w:val="24"/>
          <w:highlight w:val="none"/>
        </w:rPr>
      </w:pPr>
    </w:p>
    <w:p w14:paraId="47F5D38A">
      <w:pPr>
        <w:ind w:firstLine="1320" w:firstLineChars="55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p w14:paraId="33805B79">
      <w:pPr>
        <w:ind w:firstLine="1320" w:firstLineChars="55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p w14:paraId="3C47C10A">
      <w:pPr>
        <w:jc w:val="center"/>
        <w:rPr>
          <w:rFonts w:asciiTheme="minorEastAsia" w:hAnsiTheme="minorEastAsia" w:eastAsiaTheme="minorEastAsia" w:cstheme="minorEastAsia"/>
          <w:color w:val="auto"/>
          <w:sz w:val="24"/>
          <w:highlight w:val="none"/>
        </w:rPr>
      </w:pPr>
    </w:p>
    <w:p w14:paraId="756AFA4B">
      <w:pPr>
        <w:jc w:val="center"/>
        <w:rPr>
          <w:rFonts w:asciiTheme="minorEastAsia" w:hAnsiTheme="minorEastAsia" w:eastAsiaTheme="minorEastAsia" w:cstheme="minorEastAsia"/>
          <w:color w:val="auto"/>
          <w:sz w:val="24"/>
          <w:highlight w:val="none"/>
        </w:rPr>
      </w:pPr>
    </w:p>
    <w:p w14:paraId="28FDDB88">
      <w:pPr>
        <w:jc w:val="center"/>
        <w:rPr>
          <w:rFonts w:asciiTheme="minorEastAsia" w:hAnsiTheme="minorEastAsia" w:eastAsiaTheme="minorEastAsia" w:cstheme="minorEastAsia"/>
          <w:color w:val="auto"/>
          <w:sz w:val="24"/>
          <w:highlight w:val="none"/>
        </w:rPr>
      </w:pPr>
    </w:p>
    <w:p w14:paraId="096976FA">
      <w:pPr>
        <w:jc w:val="center"/>
        <w:rPr>
          <w:rFonts w:asciiTheme="minorEastAsia" w:hAnsiTheme="minorEastAsia" w:eastAsiaTheme="minorEastAsia" w:cstheme="minorEastAsia"/>
          <w:color w:val="auto"/>
          <w:sz w:val="24"/>
          <w:highlight w:val="none"/>
        </w:rPr>
      </w:pPr>
    </w:p>
    <w:p w14:paraId="24F50A0D">
      <w:pPr>
        <w:jc w:val="center"/>
        <w:rPr>
          <w:rFonts w:asciiTheme="minorEastAsia" w:hAnsiTheme="minorEastAsia" w:eastAsiaTheme="minorEastAsia" w:cstheme="minorEastAsia"/>
          <w:color w:val="auto"/>
          <w:sz w:val="24"/>
          <w:highlight w:val="none"/>
        </w:rPr>
      </w:pPr>
    </w:p>
    <w:p w14:paraId="618F4134">
      <w:pPr>
        <w:jc w:val="center"/>
        <w:rPr>
          <w:rFonts w:asciiTheme="minorEastAsia" w:hAnsiTheme="minorEastAsia" w:eastAsiaTheme="minorEastAsia" w:cstheme="minorEastAsia"/>
          <w:color w:val="auto"/>
          <w:sz w:val="24"/>
          <w:highlight w:val="none"/>
        </w:rPr>
      </w:pPr>
    </w:p>
    <w:p w14:paraId="0F3DCF49">
      <w:pPr>
        <w:jc w:val="center"/>
        <w:rPr>
          <w:rFonts w:asciiTheme="minorEastAsia" w:hAnsiTheme="minorEastAsia" w:eastAsiaTheme="minorEastAsia" w:cstheme="minorEastAsia"/>
          <w:color w:val="auto"/>
          <w:sz w:val="24"/>
          <w:highlight w:val="none"/>
        </w:rPr>
      </w:pPr>
    </w:p>
    <w:p w14:paraId="3903B5A0">
      <w:pPr>
        <w:jc w:val="center"/>
        <w:rPr>
          <w:rFonts w:asciiTheme="minorEastAsia" w:hAnsiTheme="minorEastAsia" w:eastAsiaTheme="minorEastAsia" w:cstheme="minorEastAsia"/>
          <w:color w:val="auto"/>
          <w:sz w:val="24"/>
          <w:highlight w:val="none"/>
        </w:rPr>
      </w:pPr>
    </w:p>
    <w:p w14:paraId="41A01D05">
      <w:pPr>
        <w:jc w:val="center"/>
        <w:rPr>
          <w:rFonts w:asciiTheme="minorEastAsia" w:hAnsiTheme="minorEastAsia" w:eastAsiaTheme="minorEastAsia" w:cstheme="minorEastAsia"/>
          <w:color w:val="auto"/>
          <w:sz w:val="24"/>
          <w:highlight w:val="none"/>
        </w:rPr>
      </w:pPr>
    </w:p>
    <w:p w14:paraId="2C472022">
      <w:pPr>
        <w:jc w:val="center"/>
        <w:rPr>
          <w:rFonts w:asciiTheme="minorEastAsia" w:hAnsiTheme="minorEastAsia" w:eastAsiaTheme="minorEastAsia" w:cstheme="minorEastAsia"/>
          <w:color w:val="auto"/>
          <w:sz w:val="24"/>
          <w:highlight w:val="none"/>
        </w:rPr>
      </w:pPr>
    </w:p>
    <w:p w14:paraId="30905A87">
      <w:pPr>
        <w:jc w:val="center"/>
        <w:rPr>
          <w:rFonts w:asciiTheme="minorEastAsia" w:hAnsiTheme="minorEastAsia" w:eastAsiaTheme="minorEastAsia" w:cstheme="minorEastAsia"/>
          <w:color w:val="auto"/>
          <w:sz w:val="24"/>
          <w:highlight w:val="none"/>
        </w:rPr>
      </w:pPr>
    </w:p>
    <w:p w14:paraId="0B2D6D0F">
      <w:pPr>
        <w:jc w:val="center"/>
        <w:rPr>
          <w:rFonts w:asciiTheme="minorEastAsia" w:hAnsiTheme="minorEastAsia" w:eastAsiaTheme="minorEastAsia" w:cstheme="minorEastAsia"/>
          <w:color w:val="auto"/>
          <w:sz w:val="24"/>
          <w:highlight w:val="none"/>
        </w:rPr>
      </w:pPr>
    </w:p>
    <w:p w14:paraId="6E8746EE">
      <w:pPr>
        <w:ind w:firstLine="2100" w:firstLineChars="875"/>
        <w:jc w:val="left"/>
        <w:rPr>
          <w:rFonts w:asciiTheme="minorEastAsia" w:hAnsiTheme="minorEastAsia" w:eastAsiaTheme="minorEastAsia" w:cstheme="minorEastAsia"/>
          <w:color w:val="auto"/>
          <w:sz w:val="24"/>
          <w:highlight w:val="none"/>
        </w:rPr>
      </w:pPr>
    </w:p>
    <w:p w14:paraId="2127A22B">
      <w:pPr>
        <w:ind w:firstLine="2280" w:firstLineChars="950"/>
        <w:rPr>
          <w:rFonts w:asciiTheme="minorEastAsia" w:hAnsiTheme="minorEastAsia" w:eastAsiaTheme="minorEastAsia" w:cstheme="minorEastAsia"/>
          <w:color w:val="auto"/>
          <w:sz w:val="24"/>
          <w:highlight w:val="none"/>
        </w:rPr>
      </w:pPr>
    </w:p>
    <w:p w14:paraId="66AEEA98">
      <w:pPr>
        <w:ind w:firstLine="1440" w:firstLineChars="6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                    </w:t>
      </w:r>
    </w:p>
    <w:p w14:paraId="1AEB12B1">
      <w:pPr>
        <w:ind w:firstLine="1440" w:firstLineChars="600"/>
        <w:rPr>
          <w:rFonts w:asciiTheme="minorEastAsia" w:hAnsiTheme="minorEastAsia" w:eastAsiaTheme="minorEastAsia" w:cstheme="minorEastAsia"/>
          <w:b/>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盖</w:t>
      </w:r>
      <w:r>
        <w:rPr>
          <w:rFonts w:hint="eastAsia" w:asciiTheme="minorEastAsia" w:hAnsiTheme="minorEastAsia" w:eastAsiaTheme="minorEastAsia" w:cstheme="minorEastAsia"/>
          <w:color w:val="auto"/>
          <w:sz w:val="24"/>
          <w:highlight w:val="none"/>
        </w:rPr>
        <w:t xml:space="preserve">  章：</w:t>
      </w:r>
    </w:p>
    <w:p w14:paraId="22B1861B">
      <w:pPr>
        <w:ind w:firstLine="3240" w:firstLineChars="1350"/>
        <w:rPr>
          <w:rFonts w:asciiTheme="minorEastAsia" w:hAnsiTheme="minorEastAsia" w:eastAsiaTheme="minorEastAsia" w:cstheme="minorEastAsia"/>
          <w:color w:val="auto"/>
          <w:sz w:val="24"/>
          <w:highlight w:val="none"/>
        </w:rPr>
      </w:pPr>
    </w:p>
    <w:p w14:paraId="37DF5A6A">
      <w:pPr>
        <w:ind w:firstLine="3240" w:firstLineChars="1350"/>
        <w:rPr>
          <w:rFonts w:asciiTheme="minorEastAsia" w:hAnsiTheme="minorEastAsia" w:eastAsiaTheme="minorEastAsia" w:cstheme="minorEastAsia"/>
          <w:color w:val="auto"/>
          <w:sz w:val="24"/>
          <w:highlight w:val="none"/>
          <w:u w:val="single"/>
        </w:rPr>
      </w:pPr>
    </w:p>
    <w:p w14:paraId="14B279A4">
      <w:pPr>
        <w:ind w:firstLine="3240" w:firstLineChars="1350"/>
        <w:rPr>
          <w:rFonts w:ascii="宋体" w:hAnsi="宋体" w:cs="宋体"/>
          <w:color w:val="auto"/>
          <w:sz w:val="24"/>
          <w:highlight w:val="none"/>
          <w:u w:val="single"/>
        </w:rPr>
      </w:pPr>
    </w:p>
    <w:p w14:paraId="42845675">
      <w:pPr>
        <w:ind w:firstLine="3240" w:firstLineChars="1350"/>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4D7BBD1">
      <w:pPr>
        <w:pStyle w:val="36"/>
        <w:spacing w:before="156" w:beforeLines="50" w:after="156" w:afterLines="50" w:line="560" w:lineRule="exact"/>
        <w:ind w:firstLine="0" w:firstLineChars="0"/>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bookmarkStart w:id="36" w:name="_Toc18671564"/>
      <w:bookmarkStart w:id="37" w:name="_Toc272163838"/>
      <w:bookmarkStart w:id="38" w:name="_Toc26899"/>
      <w:bookmarkStart w:id="39" w:name="_Hlk450146465"/>
      <w:bookmarkStart w:id="40" w:name="_Toc533314956"/>
      <w:r>
        <w:rPr>
          <w:rStyle w:val="39"/>
          <w:rFonts w:hint="eastAsia" w:ascii="宋体" w:hAnsi="宋体" w:eastAsia="宋体" w:cs="宋体"/>
          <w:b/>
          <w:color w:val="auto"/>
          <w:sz w:val="24"/>
          <w:szCs w:val="24"/>
          <w:highlight w:val="none"/>
        </w:rPr>
        <w:t>一、响应函格式</w:t>
      </w:r>
      <w:bookmarkEnd w:id="36"/>
      <w:bookmarkEnd w:id="37"/>
      <w:bookmarkEnd w:id="38"/>
      <w:bookmarkEnd w:id="39"/>
      <w:bookmarkEnd w:id="40"/>
    </w:p>
    <w:p w14:paraId="70353258">
      <w:pPr>
        <w:spacing w:before="156" w:beforeLines="50" w:after="156" w:afterLines="50" w:line="52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rPr>
        <w:t>（采购人的名称）</w:t>
      </w:r>
    </w:p>
    <w:p w14:paraId="16C6F698">
      <w:pPr>
        <w:spacing w:line="50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1、根据贵方</w:t>
      </w:r>
      <w:r>
        <w:rPr>
          <w:rFonts w:hint="eastAsia" w:asciiTheme="minorEastAsia" w:hAnsiTheme="minorEastAsia" w:eastAsiaTheme="minorEastAsia" w:cstheme="minorEastAsia"/>
          <w:color w:val="auto"/>
          <w:sz w:val="24"/>
          <w:highlight w:val="none"/>
          <w:u w:val="single"/>
        </w:rPr>
        <w:t xml:space="preserve"> （项目编号） </w:t>
      </w:r>
      <w:r>
        <w:rPr>
          <w:rFonts w:hint="eastAsia" w:asciiTheme="minorEastAsia" w:hAnsiTheme="minorEastAsia" w:eastAsiaTheme="minorEastAsia" w:cstheme="minorEastAsia"/>
          <w:color w:val="auto"/>
          <w:sz w:val="24"/>
          <w:highlight w:val="none"/>
        </w:rPr>
        <w:t>单一来源文件，我们决定参加贵方组织的</w:t>
      </w:r>
      <w:r>
        <w:rPr>
          <w:rFonts w:hint="eastAsia" w:asciiTheme="minorEastAsia" w:hAnsiTheme="minorEastAsia" w:eastAsiaTheme="minorEastAsia" w:cstheme="minorEastAsia"/>
          <w:color w:val="auto"/>
          <w:sz w:val="24"/>
          <w:highlight w:val="none"/>
          <w:u w:val="single"/>
        </w:rPr>
        <w:t xml:space="preserve"> （项目名称） </w:t>
      </w:r>
      <w:r>
        <w:rPr>
          <w:rFonts w:hint="eastAsia" w:asciiTheme="minorEastAsia" w:hAnsiTheme="minorEastAsia" w:eastAsiaTheme="minorEastAsia" w:cstheme="minorEastAsia"/>
          <w:color w:val="auto"/>
          <w:sz w:val="24"/>
          <w:highlight w:val="none"/>
        </w:rPr>
        <w:t>的采购活动。我方授权</w:t>
      </w:r>
      <w:r>
        <w:rPr>
          <w:rFonts w:hint="eastAsia" w:asciiTheme="minorEastAsia" w:hAnsiTheme="minorEastAsia" w:eastAsiaTheme="minorEastAsia" w:cstheme="minorEastAsia"/>
          <w:color w:val="auto"/>
          <w:sz w:val="24"/>
          <w:highlight w:val="none"/>
          <w:u w:val="single"/>
        </w:rPr>
        <w:t xml:space="preserve">  (姓名和职务)  </w:t>
      </w:r>
      <w:r>
        <w:rPr>
          <w:rFonts w:hint="eastAsia" w:asciiTheme="minorEastAsia" w:hAnsiTheme="minorEastAsia" w:eastAsiaTheme="minorEastAsia" w:cstheme="minorEastAsia"/>
          <w:color w:val="auto"/>
          <w:sz w:val="24"/>
          <w:highlight w:val="none"/>
        </w:rPr>
        <w:t>代表我方</w:t>
      </w:r>
      <w:r>
        <w:rPr>
          <w:rFonts w:hint="eastAsia" w:asciiTheme="minorEastAsia" w:hAnsiTheme="minorEastAsia" w:eastAsiaTheme="minorEastAsia" w:cstheme="minorEastAsia"/>
          <w:color w:val="auto"/>
          <w:sz w:val="24"/>
          <w:highlight w:val="none"/>
          <w:u w:val="single"/>
        </w:rPr>
        <w:t xml:space="preserve"> （供应商全称） </w:t>
      </w:r>
      <w:r>
        <w:rPr>
          <w:rFonts w:hint="eastAsia" w:asciiTheme="minorEastAsia" w:hAnsiTheme="minorEastAsia" w:eastAsiaTheme="minorEastAsia" w:cstheme="minorEastAsia"/>
          <w:color w:val="auto"/>
          <w:sz w:val="24"/>
          <w:highlight w:val="none"/>
        </w:rPr>
        <w:t>全权处理本项目的有关事宜。</w:t>
      </w:r>
    </w:p>
    <w:p w14:paraId="4CDE89E3">
      <w:pPr>
        <w:spacing w:line="50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2、我方愿意按照单一来源文件规定的各项要求，向采购人提供所需的服务。</w:t>
      </w:r>
    </w:p>
    <w:p w14:paraId="1E0347FC">
      <w:pPr>
        <w:spacing w:line="50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3、一旦确定我方成交，我方将严格履行合同规定的责任和义务，保证于合同签字生效后按时完成服务内容并交付采购人验收、使用。</w:t>
      </w:r>
    </w:p>
    <w:p w14:paraId="4865FEB5">
      <w:pPr>
        <w:tabs>
          <w:tab w:val="left" w:pos="840"/>
        </w:tabs>
        <w:spacing w:line="50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4、我方愿意提供贵方可能另外要求的、与协商有关的文件资料，并保证我方已提供和将要提供的文件是真实的、准确的。</w:t>
      </w:r>
    </w:p>
    <w:p w14:paraId="33716252">
      <w:pPr>
        <w:spacing w:line="500" w:lineRule="exact"/>
        <w:jc w:val="left"/>
        <w:rPr>
          <w:rFonts w:asciiTheme="minorEastAsia" w:hAnsiTheme="minorEastAsia" w:eastAsiaTheme="minorEastAsia" w:cstheme="minorEastAsia"/>
          <w:color w:val="auto"/>
          <w:sz w:val="24"/>
          <w:highlight w:val="none"/>
        </w:rPr>
      </w:pPr>
    </w:p>
    <w:p w14:paraId="17ADC50C">
      <w:pPr>
        <w:spacing w:line="500" w:lineRule="exact"/>
        <w:jc w:val="left"/>
        <w:rPr>
          <w:rFonts w:asciiTheme="minorEastAsia" w:hAnsiTheme="minorEastAsia" w:eastAsiaTheme="minorEastAsia" w:cstheme="minorEastAsia"/>
          <w:color w:val="auto"/>
          <w:sz w:val="24"/>
          <w:highlight w:val="none"/>
        </w:rPr>
      </w:pPr>
    </w:p>
    <w:p w14:paraId="702BCD2C">
      <w:pPr>
        <w:spacing w:line="500" w:lineRule="exact"/>
        <w:jc w:val="left"/>
        <w:rPr>
          <w:rFonts w:asciiTheme="minorEastAsia" w:hAnsiTheme="minorEastAsia" w:eastAsiaTheme="minorEastAsia" w:cstheme="minorEastAsia"/>
          <w:color w:val="auto"/>
          <w:sz w:val="24"/>
          <w:highlight w:val="none"/>
        </w:rPr>
      </w:pPr>
    </w:p>
    <w:p w14:paraId="13BAAF55">
      <w:pPr>
        <w:spacing w:line="500" w:lineRule="exact"/>
        <w:jc w:val="left"/>
        <w:rPr>
          <w:rFonts w:asciiTheme="minorEastAsia" w:hAnsiTheme="minorEastAsia" w:eastAsiaTheme="minorEastAsia" w:cstheme="minorEastAsia"/>
          <w:color w:val="auto"/>
          <w:sz w:val="24"/>
          <w:highlight w:val="none"/>
        </w:rPr>
      </w:pPr>
    </w:p>
    <w:p w14:paraId="71D544EB">
      <w:pPr>
        <w:pStyle w:val="35"/>
        <w:spacing w:line="5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供应商：（签章）</w:t>
      </w:r>
    </w:p>
    <w:p w14:paraId="09F0322D">
      <w:pPr>
        <w:pStyle w:val="35"/>
        <w:spacing w:line="5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p>
    <w:p w14:paraId="6DDD3E26">
      <w:pPr>
        <w:pStyle w:val="35"/>
        <w:spacing w:line="5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p w14:paraId="7F55FE6A">
      <w:pPr>
        <w:spacing w:line="5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p>
    <w:p w14:paraId="5C905422">
      <w:pPr>
        <w:pStyle w:val="36"/>
        <w:spacing w:line="500" w:lineRule="exact"/>
        <w:ind w:firstLine="3123" w:firstLineChars="1296"/>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bookmarkStart w:id="41" w:name="_Toc2979"/>
    </w:p>
    <w:p w14:paraId="2CE6A728">
      <w:pPr>
        <w:pStyle w:val="3"/>
        <w:spacing w:before="156" w:beforeLines="50" w:after="156" w:afterLines="50" w:line="560" w:lineRule="exact"/>
        <w:jc w:val="center"/>
        <w:rPr>
          <w:rFonts w:ascii="宋体" w:hAnsi="宋体" w:eastAsia="宋体" w:cs="宋体"/>
          <w:color w:val="auto"/>
          <w:sz w:val="24"/>
          <w:szCs w:val="24"/>
          <w:highlight w:val="none"/>
        </w:rPr>
      </w:pPr>
      <w:bookmarkStart w:id="42" w:name="_Toc18671565"/>
      <w:bookmarkStart w:id="43" w:name="_Toc14608"/>
      <w:r>
        <w:rPr>
          <w:rFonts w:hint="eastAsia" w:ascii="宋体" w:hAnsi="宋体" w:eastAsia="宋体" w:cs="宋体"/>
          <w:color w:val="auto"/>
          <w:sz w:val="24"/>
          <w:szCs w:val="24"/>
          <w:highlight w:val="none"/>
        </w:rPr>
        <w:t>二、响应一览表</w:t>
      </w:r>
      <w:bookmarkEnd w:id="41"/>
      <w:bookmarkEnd w:id="42"/>
      <w:bookmarkEnd w:id="43"/>
    </w:p>
    <w:p w14:paraId="576C94CB">
      <w:pPr>
        <w:pStyle w:val="36"/>
        <w:ind w:firstLine="0" w:firstLineChars="0"/>
        <w:rPr>
          <w:rFonts w:asciiTheme="minorEastAsia" w:hAnsiTheme="minorEastAsia" w:eastAsiaTheme="minorEastAsia" w:cstheme="minorEastAsia"/>
          <w:color w:val="auto"/>
          <w:sz w:val="24"/>
          <w:highlight w:val="none"/>
        </w:rPr>
      </w:pPr>
    </w:p>
    <w:tbl>
      <w:tblPr>
        <w:tblStyle w:val="1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7BA9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7941BE0E">
            <w:pPr>
              <w:widowControl/>
              <w:spacing w:line="360" w:lineRule="exact"/>
              <w:jc w:val="center"/>
              <w:rPr>
                <w:rFonts w:asciiTheme="minorEastAsia" w:hAnsiTheme="minorEastAsia" w:eastAsiaTheme="minorEastAsia" w:cstheme="minorEastAsia"/>
                <w:b/>
                <w:color w:val="auto"/>
                <w:sz w:val="24"/>
                <w:highlight w:val="none"/>
              </w:rPr>
            </w:pPr>
            <w:bookmarkStart w:id="44" w:name="_Hlk450185766"/>
            <w:bookmarkStart w:id="45" w:name="_Toc293560332"/>
            <w:bookmarkStart w:id="46" w:name="_Toc272141475"/>
            <w:r>
              <w:rPr>
                <w:rFonts w:hint="eastAsia" w:asciiTheme="minorEastAsia" w:hAnsiTheme="minorEastAsia" w:eastAsiaTheme="minorEastAsia" w:cstheme="minorEastAsia"/>
                <w:b/>
                <w:color w:val="auto"/>
                <w:sz w:val="24"/>
                <w:highlight w:val="none"/>
              </w:rPr>
              <w:t>项目名称</w:t>
            </w:r>
          </w:p>
        </w:tc>
        <w:tc>
          <w:tcPr>
            <w:tcW w:w="6667" w:type="dxa"/>
            <w:tcBorders>
              <w:top w:val="single" w:color="auto" w:sz="4" w:space="0"/>
              <w:bottom w:val="single" w:color="auto" w:sz="4" w:space="0"/>
              <w:right w:val="single" w:color="auto" w:sz="4" w:space="0"/>
            </w:tcBorders>
            <w:vAlign w:val="center"/>
          </w:tcPr>
          <w:p w14:paraId="47868CAC">
            <w:pPr>
              <w:spacing w:line="360" w:lineRule="exact"/>
              <w:rPr>
                <w:rFonts w:asciiTheme="minorEastAsia" w:hAnsiTheme="minorEastAsia" w:eastAsiaTheme="minorEastAsia" w:cstheme="minorEastAsia"/>
                <w:bCs/>
                <w:color w:val="auto"/>
                <w:sz w:val="24"/>
                <w:highlight w:val="none"/>
                <w:u w:val="single"/>
              </w:rPr>
            </w:pPr>
          </w:p>
        </w:tc>
      </w:tr>
      <w:tr w14:paraId="475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62962079">
            <w:pPr>
              <w:spacing w:line="36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项目编号</w:t>
            </w:r>
          </w:p>
        </w:tc>
        <w:tc>
          <w:tcPr>
            <w:tcW w:w="6667" w:type="dxa"/>
            <w:tcBorders>
              <w:top w:val="nil"/>
            </w:tcBorders>
            <w:vAlign w:val="center"/>
          </w:tcPr>
          <w:p w14:paraId="7C971F41">
            <w:pPr>
              <w:rPr>
                <w:rFonts w:asciiTheme="minorEastAsia" w:hAnsiTheme="minorEastAsia" w:eastAsiaTheme="minorEastAsia" w:cstheme="minorEastAsia"/>
                <w:bCs/>
                <w:color w:val="auto"/>
                <w:sz w:val="24"/>
                <w:highlight w:val="none"/>
              </w:rPr>
            </w:pPr>
          </w:p>
        </w:tc>
      </w:tr>
      <w:tr w14:paraId="66A8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01DAA431">
            <w:pPr>
              <w:spacing w:line="36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响应供应商全称</w:t>
            </w:r>
          </w:p>
        </w:tc>
        <w:tc>
          <w:tcPr>
            <w:tcW w:w="6667" w:type="dxa"/>
            <w:tcBorders>
              <w:top w:val="nil"/>
            </w:tcBorders>
            <w:vAlign w:val="center"/>
          </w:tcPr>
          <w:p w14:paraId="380FA52A">
            <w:pPr>
              <w:spacing w:line="360" w:lineRule="auto"/>
              <w:rPr>
                <w:rFonts w:asciiTheme="minorEastAsia" w:hAnsiTheme="minorEastAsia" w:eastAsiaTheme="minorEastAsia" w:cstheme="minorEastAsia"/>
                <w:bCs/>
                <w:color w:val="auto"/>
                <w:sz w:val="24"/>
                <w:highlight w:val="none"/>
              </w:rPr>
            </w:pPr>
          </w:p>
        </w:tc>
      </w:tr>
      <w:tr w14:paraId="6F16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3321C69B">
            <w:pPr>
              <w:spacing w:line="36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响应范围</w:t>
            </w:r>
          </w:p>
        </w:tc>
        <w:tc>
          <w:tcPr>
            <w:tcW w:w="6667" w:type="dxa"/>
            <w:tcBorders>
              <w:top w:val="nil"/>
            </w:tcBorders>
            <w:vAlign w:val="center"/>
          </w:tcPr>
          <w:p w14:paraId="02C1402E">
            <w:pPr>
              <w:widowControl/>
              <w:spacing w:line="360" w:lineRule="exac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第</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包(不分包项目填写“全部”)</w:t>
            </w:r>
          </w:p>
        </w:tc>
      </w:tr>
      <w:tr w14:paraId="507C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vMerge w:val="restart"/>
            <w:tcBorders>
              <w:top w:val="nil"/>
            </w:tcBorders>
            <w:vAlign w:val="center"/>
          </w:tcPr>
          <w:p w14:paraId="502CC39E">
            <w:pPr>
              <w:spacing w:line="36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响应报价</w:t>
            </w:r>
          </w:p>
          <w:p w14:paraId="590B15B6">
            <w:pPr>
              <w:spacing w:line="360" w:lineRule="exact"/>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（人民币）</w:t>
            </w:r>
          </w:p>
          <w:p w14:paraId="633C106E">
            <w:pPr>
              <w:spacing w:line="360" w:lineRule="exact"/>
              <w:jc w:val="center"/>
              <w:rPr>
                <w:rFonts w:asciiTheme="minorEastAsia" w:hAnsiTheme="minorEastAsia" w:eastAsiaTheme="minorEastAsia" w:cstheme="minorEastAsia"/>
                <w:b/>
                <w:color w:val="auto"/>
                <w:sz w:val="24"/>
                <w:highlight w:val="none"/>
              </w:rPr>
            </w:pPr>
          </w:p>
        </w:tc>
        <w:tc>
          <w:tcPr>
            <w:tcW w:w="6667" w:type="dxa"/>
            <w:tcBorders>
              <w:top w:val="nil"/>
            </w:tcBorders>
            <w:vAlign w:val="center"/>
          </w:tcPr>
          <w:p w14:paraId="291ACFC3">
            <w:pPr>
              <w:spacing w:line="360" w:lineRule="auto"/>
              <w:ind w:right="-670"/>
              <w:rPr>
                <w:rFonts w:asciiTheme="minorEastAsia" w:hAnsiTheme="minorEastAsia" w:eastAsiaTheme="minorEastAsia" w:cstheme="minorEastAsia"/>
                <w:bCs/>
                <w:color w:val="auto"/>
                <w:sz w:val="24"/>
                <w:highlight w:val="none"/>
              </w:rPr>
            </w:pPr>
          </w:p>
          <w:p w14:paraId="3AEDAEBC">
            <w:pPr>
              <w:spacing w:line="360" w:lineRule="auto"/>
              <w:ind w:right="-67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大写：</w:t>
            </w:r>
            <w:r>
              <w:rPr>
                <w:rFonts w:hint="eastAsia" w:asciiTheme="minorEastAsia" w:hAnsiTheme="minorEastAsia" w:eastAsiaTheme="minorEastAsia" w:cstheme="minorEastAsia"/>
                <w:bCs/>
                <w:color w:val="auto"/>
                <w:sz w:val="24"/>
                <w:highlight w:val="none"/>
                <w:u w:val="single"/>
              </w:rPr>
              <w:t xml:space="preserve">        </w:t>
            </w:r>
          </w:p>
        </w:tc>
      </w:tr>
      <w:tr w14:paraId="129D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vMerge w:val="continue"/>
            <w:vAlign w:val="center"/>
          </w:tcPr>
          <w:p w14:paraId="632B8219">
            <w:pPr>
              <w:spacing w:line="360" w:lineRule="exact"/>
              <w:jc w:val="center"/>
              <w:rPr>
                <w:rFonts w:asciiTheme="minorEastAsia" w:hAnsiTheme="minorEastAsia" w:eastAsiaTheme="minorEastAsia" w:cstheme="minorEastAsia"/>
                <w:b/>
                <w:color w:val="auto"/>
                <w:sz w:val="24"/>
                <w:highlight w:val="none"/>
              </w:rPr>
            </w:pPr>
          </w:p>
        </w:tc>
        <w:tc>
          <w:tcPr>
            <w:tcW w:w="6667" w:type="dxa"/>
            <w:tcBorders>
              <w:top w:val="nil"/>
            </w:tcBorders>
            <w:vAlign w:val="center"/>
          </w:tcPr>
          <w:p w14:paraId="1340EAB6">
            <w:pPr>
              <w:spacing w:line="360" w:lineRule="auto"/>
              <w:ind w:right="-670"/>
              <w:rPr>
                <w:rFonts w:asciiTheme="minorEastAsia" w:hAnsiTheme="minorEastAsia" w:eastAsiaTheme="minorEastAsia" w:cstheme="minorEastAsia"/>
                <w:bCs/>
                <w:color w:val="auto"/>
                <w:sz w:val="24"/>
                <w:highlight w:val="none"/>
              </w:rPr>
            </w:pPr>
          </w:p>
          <w:p w14:paraId="4A94A796">
            <w:pPr>
              <w:spacing w:line="360" w:lineRule="auto"/>
              <w:ind w:right="-670"/>
              <w:rPr>
                <w:rFonts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小写：</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（元/%）</w:t>
            </w:r>
          </w:p>
          <w:p w14:paraId="49AB09E8">
            <w:pPr>
              <w:spacing w:line="360" w:lineRule="auto"/>
              <w:ind w:right="-670"/>
              <w:rPr>
                <w:rFonts w:asciiTheme="minorEastAsia" w:hAnsiTheme="minorEastAsia" w:eastAsiaTheme="minorEastAsia" w:cstheme="minorEastAsia"/>
                <w:bCs/>
                <w:color w:val="auto"/>
                <w:sz w:val="24"/>
                <w:highlight w:val="none"/>
              </w:rPr>
            </w:pPr>
          </w:p>
        </w:tc>
      </w:tr>
      <w:tr w14:paraId="4F22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8" w:hRule="atLeast"/>
          <w:jc w:val="center"/>
        </w:trPr>
        <w:tc>
          <w:tcPr>
            <w:tcW w:w="2471" w:type="dxa"/>
            <w:tcBorders>
              <w:top w:val="nil"/>
            </w:tcBorders>
            <w:vAlign w:val="center"/>
          </w:tcPr>
          <w:p w14:paraId="6B6C7EBE">
            <w:pPr>
              <w:spacing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备注</w:t>
            </w:r>
          </w:p>
        </w:tc>
        <w:tc>
          <w:tcPr>
            <w:tcW w:w="6667" w:type="dxa"/>
            <w:tcBorders>
              <w:top w:val="nil"/>
            </w:tcBorders>
            <w:vAlign w:val="center"/>
          </w:tcPr>
          <w:p w14:paraId="04556268">
            <w:pPr>
              <w:spacing w:line="360" w:lineRule="auto"/>
              <w:jc w:val="left"/>
              <w:rPr>
                <w:rFonts w:asciiTheme="minorEastAsia" w:hAnsiTheme="minorEastAsia" w:eastAsiaTheme="minorEastAsia" w:cstheme="minorEastAsia"/>
                <w:bCs/>
                <w:color w:val="auto"/>
                <w:sz w:val="24"/>
                <w:highlight w:val="none"/>
              </w:rPr>
            </w:pPr>
          </w:p>
        </w:tc>
      </w:tr>
    </w:tbl>
    <w:p w14:paraId="31CAA37C">
      <w:pPr>
        <w:spacing w:before="100" w:beforeAutospacing="1" w:after="100" w:afterAutospacing="1" w:line="360" w:lineRule="auto"/>
        <w:rPr>
          <w:rFonts w:asciiTheme="minorEastAsia" w:hAnsiTheme="minorEastAsia" w:eastAsiaTheme="minorEastAsia" w:cstheme="minorEastAsia"/>
          <w:b/>
          <w:color w:val="auto"/>
          <w:sz w:val="24"/>
          <w:highlight w:val="none"/>
        </w:rPr>
      </w:pPr>
    </w:p>
    <w:p w14:paraId="70423634">
      <w:pP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响应供应商</w:t>
      </w:r>
      <w:r>
        <w:rPr>
          <w:rFonts w:hint="eastAsia" w:asciiTheme="minorEastAsia" w:hAnsiTheme="minorEastAsia" w:eastAsiaTheme="minorEastAsia" w:cstheme="minorEastAsia"/>
          <w:b/>
          <w:color w:val="auto"/>
          <w:sz w:val="24"/>
          <w:highlight w:val="none"/>
          <w:lang w:val="en-US" w:eastAsia="zh-CN"/>
        </w:rPr>
        <w:t>盖章</w:t>
      </w:r>
      <w:r>
        <w:rPr>
          <w:rFonts w:hint="eastAsia" w:asciiTheme="minorEastAsia" w:hAnsiTheme="minorEastAsia" w:eastAsiaTheme="minorEastAsia" w:cstheme="minorEastAsia"/>
          <w:b/>
          <w:color w:val="auto"/>
          <w:sz w:val="24"/>
          <w:highlight w:val="none"/>
        </w:rPr>
        <w:t xml:space="preserve">：   </w:t>
      </w:r>
    </w:p>
    <w:p w14:paraId="3A11BB5A">
      <w:pPr>
        <w:rPr>
          <w:rFonts w:asciiTheme="minorEastAsia" w:hAnsiTheme="minorEastAsia" w:eastAsiaTheme="minorEastAsia" w:cstheme="minorEastAsia"/>
          <w:color w:val="auto"/>
          <w:sz w:val="24"/>
          <w:highlight w:val="none"/>
        </w:rPr>
      </w:pPr>
    </w:p>
    <w:p w14:paraId="3FA557E3">
      <w:pPr>
        <w:rPr>
          <w:rFonts w:asciiTheme="minorEastAsia" w:hAnsiTheme="minorEastAsia" w:eastAsiaTheme="minorEastAsia" w:cstheme="minorEastAsia"/>
          <w:color w:val="auto"/>
          <w:sz w:val="24"/>
          <w:highlight w:val="none"/>
        </w:rPr>
      </w:pPr>
    </w:p>
    <w:p w14:paraId="238548BD">
      <w:pPr>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b/>
          <w:color w:val="auto"/>
          <w:sz w:val="24"/>
          <w:highlight w:val="none"/>
        </w:rPr>
        <w:t>日期</w:t>
      </w:r>
      <w:r>
        <w:rPr>
          <w:rFonts w:hint="eastAsia" w:asciiTheme="minorEastAsia" w:hAnsiTheme="minorEastAsia" w:eastAsiaTheme="minorEastAsia" w:cstheme="minorEastAsia"/>
          <w:color w:val="auto"/>
          <w:sz w:val="24"/>
          <w:highlight w:val="none"/>
        </w:rPr>
        <w:t>：   年    月    日</w:t>
      </w:r>
    </w:p>
    <w:p w14:paraId="69EF94DE">
      <w:pPr>
        <w:rPr>
          <w:rFonts w:asciiTheme="minorEastAsia" w:hAnsiTheme="minorEastAsia" w:eastAsiaTheme="minorEastAsia" w:cstheme="minorEastAsia"/>
          <w:color w:val="auto"/>
          <w:sz w:val="24"/>
          <w:highlight w:val="none"/>
        </w:rPr>
      </w:pPr>
    </w:p>
    <w:p w14:paraId="18BC0FFD">
      <w:pPr>
        <w:rPr>
          <w:rFonts w:asciiTheme="minorEastAsia" w:hAnsiTheme="minorEastAsia" w:eastAsiaTheme="minorEastAsia" w:cstheme="minorEastAsia"/>
          <w:color w:val="auto"/>
          <w:sz w:val="24"/>
          <w:highlight w:val="none"/>
        </w:rPr>
      </w:pPr>
    </w:p>
    <w:p w14:paraId="76720563">
      <w:pPr>
        <w:rPr>
          <w:rFonts w:asciiTheme="minorEastAsia" w:hAnsiTheme="minorEastAsia" w:eastAsiaTheme="minorEastAsia" w:cstheme="minorEastAsia"/>
          <w:color w:val="auto"/>
          <w:sz w:val="24"/>
          <w:highlight w:val="none"/>
        </w:rPr>
      </w:pPr>
    </w:p>
    <w:p w14:paraId="602784CF">
      <w:pPr>
        <w:rPr>
          <w:rFonts w:asciiTheme="minorEastAsia" w:hAnsiTheme="minorEastAsia" w:eastAsiaTheme="minorEastAsia" w:cstheme="minorEastAsia"/>
          <w:color w:val="auto"/>
          <w:sz w:val="24"/>
          <w:highlight w:val="none"/>
        </w:rPr>
      </w:pPr>
    </w:p>
    <w:p w14:paraId="08F88248">
      <w:pPr>
        <w:rPr>
          <w:rFonts w:asciiTheme="minorEastAsia" w:hAnsiTheme="minorEastAsia" w:eastAsiaTheme="minorEastAsia" w:cstheme="minorEastAsia"/>
          <w:color w:val="auto"/>
          <w:sz w:val="24"/>
          <w:highlight w:val="none"/>
        </w:rPr>
      </w:pPr>
    </w:p>
    <w:p w14:paraId="5EF0E251">
      <w:pPr>
        <w:rPr>
          <w:rFonts w:asciiTheme="minorEastAsia" w:hAnsiTheme="minorEastAsia" w:eastAsiaTheme="minorEastAsia" w:cstheme="minorEastAsia"/>
          <w:color w:val="auto"/>
          <w:sz w:val="24"/>
          <w:highlight w:val="none"/>
        </w:rPr>
      </w:pPr>
    </w:p>
    <w:p w14:paraId="1F9BC3AD">
      <w:pPr>
        <w:pStyle w:val="3"/>
        <w:spacing w:before="156" w:beforeLines="50" w:after="156" w:afterLines="50" w:line="560" w:lineRule="exact"/>
        <w:jc w:val="center"/>
        <w:rPr>
          <w:rFonts w:asciiTheme="minorEastAsia" w:hAnsiTheme="minorEastAsia" w:eastAsiaTheme="minorEastAsia" w:cstheme="minorEastAsia"/>
          <w:color w:val="auto"/>
          <w:sz w:val="24"/>
          <w:szCs w:val="24"/>
          <w:highlight w:val="none"/>
        </w:rPr>
      </w:pPr>
      <w:bookmarkStart w:id="47" w:name="_Toc3760"/>
      <w:r>
        <w:rPr>
          <w:rFonts w:hint="eastAsia" w:asciiTheme="minorEastAsia" w:hAnsiTheme="minorEastAsia" w:eastAsiaTheme="minorEastAsia" w:cstheme="minorEastAsia"/>
          <w:color w:val="auto"/>
          <w:sz w:val="24"/>
          <w:szCs w:val="24"/>
          <w:highlight w:val="none"/>
        </w:rPr>
        <w:br w:type="page"/>
      </w:r>
      <w:bookmarkStart w:id="48" w:name="_Toc2257"/>
      <w:bookmarkStart w:id="49" w:name="_Toc9309"/>
      <w:bookmarkStart w:id="50" w:name="_Toc18671566"/>
      <w:r>
        <w:rPr>
          <w:rFonts w:hint="eastAsia" w:ascii="宋体" w:hAnsi="宋体" w:eastAsia="宋体" w:cs="宋体"/>
          <w:color w:val="auto"/>
          <w:sz w:val="24"/>
          <w:szCs w:val="24"/>
          <w:highlight w:val="none"/>
        </w:rPr>
        <w:t>三、营业执照</w:t>
      </w:r>
      <w:bookmarkEnd w:id="48"/>
      <w:bookmarkEnd w:id="49"/>
    </w:p>
    <w:p w14:paraId="7E3ED950">
      <w:pPr>
        <w:jc w:val="center"/>
        <w:rPr>
          <w:rFonts w:ascii="宋体" w:hAnsi="宋体" w:cs="宋体"/>
          <w:color w:val="auto"/>
          <w:sz w:val="24"/>
          <w:highlight w:val="none"/>
        </w:rPr>
      </w:pPr>
      <w:bookmarkStart w:id="51" w:name="_Toc24176"/>
      <w:r>
        <w:rPr>
          <w:rFonts w:hint="eastAsia"/>
          <w:color w:val="auto"/>
          <w:sz w:val="24"/>
          <w:highlight w:val="none"/>
        </w:rPr>
        <w:t>（营业执照等信息）</w:t>
      </w:r>
    </w:p>
    <w:p w14:paraId="0A67B410">
      <w:pPr>
        <w:rPr>
          <w:rFonts w:ascii="宋体" w:hAnsi="宋体" w:cs="宋体"/>
          <w:color w:val="auto"/>
          <w:sz w:val="24"/>
          <w:highlight w:val="none"/>
        </w:rPr>
      </w:pPr>
      <w:r>
        <w:rPr>
          <w:rFonts w:hint="eastAsia" w:ascii="宋体" w:hAnsi="宋体" w:cs="宋体"/>
          <w:color w:val="auto"/>
          <w:sz w:val="24"/>
          <w:highlight w:val="none"/>
        </w:rPr>
        <w:br w:type="page"/>
      </w:r>
    </w:p>
    <w:p w14:paraId="4D56F52D">
      <w:pPr>
        <w:pStyle w:val="3"/>
        <w:spacing w:before="156" w:beforeLines="50" w:after="156" w:afterLines="50" w:line="560" w:lineRule="exact"/>
        <w:jc w:val="center"/>
        <w:rPr>
          <w:rFonts w:ascii="宋体" w:hAnsi="宋体" w:eastAsia="宋体" w:cs="宋体"/>
          <w:color w:val="auto"/>
          <w:sz w:val="24"/>
          <w:szCs w:val="24"/>
          <w:highlight w:val="none"/>
        </w:rPr>
      </w:pPr>
      <w:bookmarkStart w:id="52" w:name="_Toc1365"/>
      <w:r>
        <w:rPr>
          <w:rFonts w:hint="eastAsia" w:ascii="宋体" w:hAnsi="宋体" w:eastAsia="宋体" w:cs="宋体"/>
          <w:color w:val="auto"/>
          <w:sz w:val="24"/>
          <w:szCs w:val="24"/>
          <w:highlight w:val="none"/>
        </w:rPr>
        <w:t>四、授权委托书</w:t>
      </w:r>
      <w:bookmarkEnd w:id="51"/>
      <w:bookmarkEnd w:id="52"/>
    </w:p>
    <w:p w14:paraId="14CFAAD8">
      <w:pPr>
        <w:pStyle w:val="6"/>
        <w:snapToGrid w:val="0"/>
        <w:spacing w:line="560" w:lineRule="exact"/>
        <w:ind w:firstLine="480" w:firstLineChars="200"/>
        <w:jc w:val="left"/>
        <w:rPr>
          <w:rFonts w:asciiTheme="minorEastAsia" w:hAnsiTheme="minorEastAsia" w:eastAsiaTheme="minorEastAsia" w:cstheme="minorEastAsia"/>
          <w:color w:val="auto"/>
          <w:sz w:val="24"/>
          <w:highlight w:val="none"/>
        </w:rPr>
      </w:pPr>
      <w:r>
        <w:rPr>
          <w:rFonts w:hint="eastAsia" w:hAnsi="宋体" w:cs="宋体"/>
          <w:color w:val="auto"/>
          <w:sz w:val="24"/>
          <w:highlight w:val="none"/>
          <w:u w:val="single"/>
        </w:rPr>
        <w:t xml:space="preserve"> （供应商名称的全称） </w:t>
      </w:r>
      <w:r>
        <w:rPr>
          <w:rFonts w:hint="eastAsia" w:asciiTheme="minorEastAsia" w:hAnsiTheme="minorEastAsia" w:eastAsiaTheme="minorEastAsia" w:cstheme="minorEastAsia"/>
          <w:color w:val="auto"/>
          <w:sz w:val="24"/>
          <w:highlight w:val="none"/>
        </w:rPr>
        <w:t>授权本公司</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（响应供应商授权代表姓名、职务）代表本公司参加</w:t>
      </w:r>
      <w:r>
        <w:rPr>
          <w:rFonts w:hint="eastAsia" w:asciiTheme="minorEastAsia" w:hAnsiTheme="minorEastAsia" w:eastAsiaTheme="minorEastAsia" w:cstheme="minorEastAsia"/>
          <w:color w:val="auto"/>
          <w:sz w:val="24"/>
          <w:highlight w:val="none"/>
          <w:u w:val="single"/>
        </w:rPr>
        <w:t xml:space="preserve">       某项目</w:t>
      </w:r>
      <w:r>
        <w:rPr>
          <w:rFonts w:hint="eastAsia" w:asciiTheme="minorEastAsia" w:hAnsiTheme="minorEastAsia" w:eastAsiaTheme="minorEastAsia" w:cstheme="minorEastAsia"/>
          <w:color w:val="auto"/>
          <w:sz w:val="24"/>
          <w:highlight w:val="none"/>
        </w:rPr>
        <w:t>采购活动（项目编号：</w:t>
      </w:r>
      <w:r>
        <w:rPr>
          <w:rFonts w:hint="eastAsia" w:asciiTheme="minorEastAsia" w:hAnsiTheme="minorEastAsia" w:eastAsiaTheme="minorEastAsia" w:cstheme="minorEastAsia"/>
          <w:color w:val="auto"/>
          <w:sz w:val="24"/>
          <w:highlight w:val="none"/>
          <w:u w:val="single"/>
        </w:rPr>
        <w:t>某编号</w:t>
      </w:r>
      <w:r>
        <w:rPr>
          <w:rFonts w:hint="eastAsia" w:asciiTheme="minorEastAsia" w:hAnsiTheme="minorEastAsia" w:eastAsiaTheme="minorEastAsia" w:cstheme="minorEastAsia"/>
          <w:color w:val="auto"/>
          <w:sz w:val="24"/>
          <w:highlight w:val="none"/>
        </w:rPr>
        <w:t>），全权代表本公司处理采购过程的一切事宜。响应供应商授权代表在采购过程中所签署的一切文件和处理与之有关的一切事务，本公司均予以认可并对此承担责任。响应供应商授权代表无转委托权。</w:t>
      </w:r>
    </w:p>
    <w:p w14:paraId="10E4A6FA">
      <w:pPr>
        <w:pStyle w:val="6"/>
        <w:snapToGrid w:val="0"/>
        <w:spacing w:line="56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特此授权。</w:t>
      </w:r>
    </w:p>
    <w:p w14:paraId="3269DCA1">
      <w:pPr>
        <w:pStyle w:val="6"/>
        <w:snapToGrid w:val="0"/>
        <w:spacing w:line="560" w:lineRule="exact"/>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本授权书自出具之日起生效。</w:t>
      </w:r>
    </w:p>
    <w:p w14:paraId="4605A72C">
      <w:pPr>
        <w:spacing w:line="360" w:lineRule="auto"/>
        <w:rPr>
          <w:rFonts w:asciiTheme="minorEastAsia" w:hAnsiTheme="minorEastAsia" w:eastAsiaTheme="minorEastAsia" w:cstheme="minorEastAsia"/>
          <w:color w:val="auto"/>
          <w:sz w:val="24"/>
          <w:highlight w:val="none"/>
        </w:rPr>
      </w:pPr>
    </w:p>
    <w:p w14:paraId="6C900534">
      <w:pPr>
        <w:spacing w:line="360" w:lineRule="auto"/>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授权代表（或法定代表人）身份证明扫描件或影印件：</w:t>
      </w:r>
    </w:p>
    <w:p w14:paraId="43C09D0B">
      <w:pPr>
        <w:spacing w:line="360" w:lineRule="auto"/>
        <w:rPr>
          <w:rFonts w:asciiTheme="minorEastAsia" w:hAnsiTheme="minorEastAsia" w:eastAsiaTheme="minorEastAsia" w:cstheme="minorEastAsia"/>
          <w:color w:val="auto"/>
          <w:sz w:val="24"/>
          <w:highlight w:val="none"/>
        </w:rPr>
      </w:pPr>
    </w:p>
    <w:p w14:paraId="0FF4D235">
      <w:pPr>
        <w:spacing w:line="360" w:lineRule="auto"/>
        <w:rPr>
          <w:rFonts w:asciiTheme="minorEastAsia" w:hAnsiTheme="minorEastAsia" w:eastAsiaTheme="minorEastAsia" w:cstheme="minorEastAsia"/>
          <w:color w:val="auto"/>
          <w:sz w:val="24"/>
          <w:highlight w:val="none"/>
        </w:rPr>
      </w:pPr>
    </w:p>
    <w:p w14:paraId="4BE52A52">
      <w:pPr>
        <w:spacing w:line="360" w:lineRule="auto"/>
        <w:rPr>
          <w:rFonts w:asciiTheme="minorEastAsia" w:hAnsiTheme="minorEastAsia" w:eastAsiaTheme="minorEastAsia" w:cstheme="minorEastAsia"/>
          <w:color w:val="auto"/>
          <w:sz w:val="24"/>
          <w:highlight w:val="none"/>
        </w:rPr>
      </w:pPr>
    </w:p>
    <w:p w14:paraId="16EC2347">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授权代表（或法定代表人）联系方式：</w:t>
      </w:r>
      <w:r>
        <w:rPr>
          <w:rFonts w:hint="eastAsia" w:asciiTheme="minorEastAsia" w:hAnsiTheme="minorEastAsia" w:eastAsiaTheme="minorEastAsia" w:cstheme="minorEastAsia"/>
          <w:color w:val="auto"/>
          <w:sz w:val="24"/>
          <w:highlight w:val="none"/>
        </w:rPr>
        <w:t>（请填写手机号码）</w:t>
      </w:r>
    </w:p>
    <w:p w14:paraId="1DEB79E4">
      <w:pPr>
        <w:spacing w:line="360" w:lineRule="auto"/>
        <w:ind w:firstLine="645"/>
        <w:rPr>
          <w:rFonts w:asciiTheme="minorEastAsia" w:hAnsiTheme="minorEastAsia" w:eastAsiaTheme="minorEastAsia" w:cstheme="minorEastAsia"/>
          <w:color w:val="auto"/>
          <w:sz w:val="24"/>
          <w:highlight w:val="none"/>
        </w:rPr>
      </w:pPr>
    </w:p>
    <w:p w14:paraId="03D4CA94">
      <w:pPr>
        <w:spacing w:line="360" w:lineRule="auto"/>
        <w:rPr>
          <w:rFonts w:asciiTheme="minorEastAsia" w:hAnsiTheme="minorEastAsia" w:eastAsiaTheme="minorEastAsia" w:cstheme="minorEastAsia"/>
          <w:color w:val="auto"/>
          <w:sz w:val="24"/>
          <w:highlight w:val="none"/>
        </w:rPr>
      </w:pPr>
    </w:p>
    <w:p w14:paraId="18FB97F2">
      <w:pPr>
        <w:spacing w:line="360" w:lineRule="auto"/>
        <w:rPr>
          <w:rFonts w:asciiTheme="minorEastAsia" w:hAnsiTheme="minorEastAsia" w:eastAsiaTheme="minorEastAsia" w:cstheme="minorEastAsia"/>
          <w:color w:val="auto"/>
          <w:sz w:val="24"/>
          <w:highlight w:val="none"/>
        </w:rPr>
      </w:pPr>
    </w:p>
    <w:p w14:paraId="09B5218A">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供应商</w:t>
      </w:r>
      <w:r>
        <w:rPr>
          <w:rFonts w:hint="eastAsia" w:asciiTheme="minorEastAsia" w:hAnsiTheme="minorEastAsia" w:eastAsiaTheme="minorEastAsia" w:cstheme="minorEastAsia"/>
          <w:b/>
          <w:bCs/>
          <w:color w:val="auto"/>
          <w:sz w:val="24"/>
          <w:highlight w:val="none"/>
          <w:lang w:val="en-US" w:eastAsia="zh-CN"/>
        </w:rPr>
        <w:t>盖章</w:t>
      </w:r>
      <w:r>
        <w:rPr>
          <w:rFonts w:hint="eastAsia" w:asciiTheme="minorEastAsia" w:hAnsiTheme="minorEastAsia" w:eastAsiaTheme="minorEastAsia" w:cstheme="minorEastAsia"/>
          <w:b/>
          <w:bCs/>
          <w:color w:val="auto"/>
          <w:sz w:val="24"/>
          <w:highlight w:val="none"/>
        </w:rPr>
        <w:t>：</w:t>
      </w:r>
    </w:p>
    <w:p w14:paraId="073F32FF">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     年   月   日</w:t>
      </w:r>
    </w:p>
    <w:p w14:paraId="18E76048">
      <w:pPr>
        <w:rPr>
          <w:rFonts w:asciiTheme="minorEastAsia" w:hAnsiTheme="minorEastAsia" w:eastAsiaTheme="minorEastAsia" w:cstheme="minorEastAsia"/>
          <w:color w:val="auto"/>
          <w:sz w:val="24"/>
          <w:highlight w:val="none"/>
        </w:rPr>
      </w:pPr>
    </w:p>
    <w:p w14:paraId="11E23697">
      <w:pPr>
        <w:pStyle w:val="6"/>
        <w:snapToGrid w:val="0"/>
        <w:spacing w:line="360" w:lineRule="auto"/>
        <w:jc w:val="left"/>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w:t>
      </w:r>
    </w:p>
    <w:p w14:paraId="648CD9A8">
      <w:pPr>
        <w:pStyle w:val="6"/>
        <w:numPr>
          <w:ilvl w:val="0"/>
          <w:numId w:val="2"/>
        </w:numPr>
        <w:snapToGrid w:val="0"/>
        <w:spacing w:line="360" w:lineRule="auto"/>
        <w:jc w:val="left"/>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本项目只允许有唯一的响应供应商授权代表（提供身份证明扫描件或影印件及联系方式）；</w:t>
      </w:r>
    </w:p>
    <w:p w14:paraId="17390F1E">
      <w:pPr>
        <w:pStyle w:val="6"/>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2、法定代表人参加的，无需提供授权委托书，仅提供身份证明扫描件或影印件及联系方式即可。</w:t>
      </w:r>
    </w:p>
    <w:p w14:paraId="078069F7">
      <w:pPr>
        <w:rPr>
          <w:rFonts w:asciiTheme="minorEastAsia" w:hAnsiTheme="minorEastAsia" w:eastAsiaTheme="minorEastAsia" w:cstheme="minorEastAsia"/>
          <w:color w:val="auto"/>
          <w:sz w:val="24"/>
          <w:highlight w:val="none"/>
        </w:rPr>
      </w:pPr>
    </w:p>
    <w:bookmarkEnd w:id="44"/>
    <w:bookmarkEnd w:id="45"/>
    <w:bookmarkEnd w:id="46"/>
    <w:bookmarkEnd w:id="47"/>
    <w:bookmarkEnd w:id="50"/>
    <w:p w14:paraId="25FB72A4">
      <w:pPr>
        <w:rPr>
          <w:rStyle w:val="39"/>
          <w:rFonts w:ascii="宋体" w:hAnsi="宋体" w:eastAsia="宋体" w:cs="宋体"/>
          <w:color w:val="auto"/>
          <w:sz w:val="24"/>
          <w:szCs w:val="24"/>
          <w:highlight w:val="none"/>
        </w:rPr>
      </w:pPr>
      <w:bookmarkStart w:id="53" w:name="_Toc26032"/>
      <w:bookmarkStart w:id="54" w:name="_Toc18671568"/>
      <w:bookmarkStart w:id="55" w:name="_Toc272163840"/>
      <w:bookmarkStart w:id="56" w:name="_Toc533314960"/>
      <w:r>
        <w:rPr>
          <w:rStyle w:val="39"/>
          <w:rFonts w:hint="eastAsia" w:ascii="宋体" w:hAnsi="宋体" w:eastAsia="宋体" w:cs="宋体"/>
          <w:color w:val="auto"/>
          <w:sz w:val="24"/>
          <w:szCs w:val="24"/>
          <w:highlight w:val="none"/>
        </w:rPr>
        <w:br w:type="page"/>
      </w:r>
    </w:p>
    <w:p w14:paraId="3751C512">
      <w:pPr>
        <w:spacing w:line="560" w:lineRule="exact"/>
        <w:jc w:val="center"/>
        <w:rPr>
          <w:rFonts w:asciiTheme="minorEastAsia" w:hAnsiTheme="minorEastAsia" w:eastAsiaTheme="minorEastAsia" w:cstheme="minorEastAsia"/>
          <w:color w:val="auto"/>
          <w:sz w:val="24"/>
          <w:highlight w:val="none"/>
        </w:rPr>
      </w:pPr>
      <w:bookmarkStart w:id="57" w:name="_Toc7103"/>
      <w:r>
        <w:rPr>
          <w:rStyle w:val="39"/>
          <w:rFonts w:hint="eastAsia" w:ascii="宋体" w:hAnsi="宋体" w:eastAsia="宋体" w:cs="宋体"/>
          <w:color w:val="auto"/>
          <w:sz w:val="24"/>
          <w:szCs w:val="24"/>
          <w:highlight w:val="none"/>
        </w:rPr>
        <w:t>五、服务分项报价表</w:t>
      </w:r>
      <w:bookmarkEnd w:id="53"/>
      <w:bookmarkEnd w:id="57"/>
    </w:p>
    <w:p w14:paraId="3AFF66C7">
      <w:pPr>
        <w:pStyle w:val="36"/>
        <w:ind w:firstLine="0" w:firstLineChars="0"/>
        <w:rPr>
          <w:rFonts w:asciiTheme="minorEastAsia" w:hAnsiTheme="minorEastAsia" w:eastAsiaTheme="minorEastAsia" w:cstheme="minorEastAsia"/>
          <w:color w:val="auto"/>
          <w:sz w:val="24"/>
          <w:highlight w:val="none"/>
        </w:rPr>
      </w:pPr>
    </w:p>
    <w:tbl>
      <w:tblPr>
        <w:tblStyle w:val="16"/>
        <w:tblW w:w="878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234"/>
        <w:gridCol w:w="1559"/>
        <w:gridCol w:w="1276"/>
      </w:tblGrid>
      <w:tr w14:paraId="755DFF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720" w:type="dxa"/>
            <w:vAlign w:val="center"/>
          </w:tcPr>
          <w:p w14:paraId="69F792FC">
            <w:pPr>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序号</w:t>
            </w:r>
          </w:p>
        </w:tc>
        <w:tc>
          <w:tcPr>
            <w:tcW w:w="5234" w:type="dxa"/>
            <w:vAlign w:val="center"/>
          </w:tcPr>
          <w:p w14:paraId="2B39E33D">
            <w:pPr>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内容</w:t>
            </w:r>
          </w:p>
        </w:tc>
        <w:tc>
          <w:tcPr>
            <w:tcW w:w="1559" w:type="dxa"/>
            <w:vAlign w:val="center"/>
          </w:tcPr>
          <w:p w14:paraId="7B116324">
            <w:pPr>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总价</w:t>
            </w:r>
          </w:p>
          <w:p w14:paraId="194F1148">
            <w:pPr>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（元）</w:t>
            </w:r>
          </w:p>
        </w:tc>
        <w:tc>
          <w:tcPr>
            <w:tcW w:w="1276" w:type="dxa"/>
            <w:vAlign w:val="center"/>
          </w:tcPr>
          <w:p w14:paraId="12147811">
            <w:pPr>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备注</w:t>
            </w:r>
          </w:p>
        </w:tc>
      </w:tr>
      <w:tr w14:paraId="322F23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4344E21E">
            <w:pPr>
              <w:jc w:val="center"/>
              <w:rPr>
                <w:rFonts w:asciiTheme="minorEastAsia" w:hAnsiTheme="minorEastAsia" w:eastAsiaTheme="minorEastAsia" w:cstheme="minorEastAsia"/>
                <w:color w:val="auto"/>
                <w:sz w:val="24"/>
                <w:highlight w:val="none"/>
              </w:rPr>
            </w:pPr>
          </w:p>
        </w:tc>
        <w:tc>
          <w:tcPr>
            <w:tcW w:w="5234" w:type="dxa"/>
            <w:vAlign w:val="center"/>
          </w:tcPr>
          <w:p w14:paraId="224596AF">
            <w:pPr>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拟提供的服务费用</w:t>
            </w:r>
          </w:p>
        </w:tc>
        <w:tc>
          <w:tcPr>
            <w:tcW w:w="1559" w:type="dxa"/>
            <w:vAlign w:val="center"/>
          </w:tcPr>
          <w:p w14:paraId="641C02FE">
            <w:pPr>
              <w:jc w:val="center"/>
              <w:rPr>
                <w:rFonts w:asciiTheme="minorEastAsia" w:hAnsiTheme="minorEastAsia" w:eastAsiaTheme="minorEastAsia" w:cstheme="minorEastAsia"/>
                <w:color w:val="auto"/>
                <w:sz w:val="24"/>
                <w:highlight w:val="none"/>
              </w:rPr>
            </w:pPr>
          </w:p>
        </w:tc>
        <w:tc>
          <w:tcPr>
            <w:tcW w:w="1276" w:type="dxa"/>
            <w:vMerge w:val="restart"/>
            <w:vAlign w:val="center"/>
          </w:tcPr>
          <w:p w14:paraId="7961654F">
            <w:pPr>
              <w:jc w:val="center"/>
              <w:rPr>
                <w:rFonts w:asciiTheme="minorEastAsia" w:hAnsiTheme="minorEastAsia" w:eastAsiaTheme="minorEastAsia" w:cstheme="minorEastAsia"/>
                <w:color w:val="auto"/>
                <w:sz w:val="24"/>
                <w:highlight w:val="none"/>
              </w:rPr>
            </w:pPr>
          </w:p>
        </w:tc>
      </w:tr>
      <w:tr w14:paraId="2A7825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776CE377">
            <w:pPr>
              <w:jc w:val="center"/>
              <w:rPr>
                <w:rFonts w:asciiTheme="minorEastAsia" w:hAnsiTheme="minorEastAsia" w:eastAsiaTheme="minorEastAsia" w:cstheme="minorEastAsia"/>
                <w:color w:val="auto"/>
                <w:sz w:val="24"/>
                <w:highlight w:val="none"/>
              </w:rPr>
            </w:pPr>
          </w:p>
        </w:tc>
        <w:tc>
          <w:tcPr>
            <w:tcW w:w="5234" w:type="dxa"/>
            <w:vAlign w:val="center"/>
          </w:tcPr>
          <w:p w14:paraId="631EA396">
            <w:pPr>
              <w:jc w:val="center"/>
              <w:rPr>
                <w:rFonts w:asciiTheme="minorEastAsia" w:hAnsiTheme="minorEastAsia" w:eastAsiaTheme="minorEastAsia" w:cstheme="minorEastAsia"/>
                <w:color w:val="auto"/>
                <w:sz w:val="24"/>
                <w:highlight w:val="none"/>
              </w:rPr>
            </w:pPr>
          </w:p>
        </w:tc>
        <w:tc>
          <w:tcPr>
            <w:tcW w:w="1559" w:type="dxa"/>
            <w:vAlign w:val="center"/>
          </w:tcPr>
          <w:p w14:paraId="1641E855">
            <w:pPr>
              <w:jc w:val="center"/>
              <w:rPr>
                <w:rFonts w:asciiTheme="minorEastAsia" w:hAnsiTheme="minorEastAsia" w:eastAsiaTheme="minorEastAsia" w:cstheme="minorEastAsia"/>
                <w:color w:val="auto"/>
                <w:sz w:val="24"/>
                <w:highlight w:val="none"/>
              </w:rPr>
            </w:pPr>
          </w:p>
        </w:tc>
        <w:tc>
          <w:tcPr>
            <w:tcW w:w="1276" w:type="dxa"/>
            <w:vMerge w:val="continue"/>
          </w:tcPr>
          <w:p w14:paraId="1E1090C3">
            <w:pPr>
              <w:rPr>
                <w:rFonts w:asciiTheme="minorEastAsia" w:hAnsiTheme="minorEastAsia" w:eastAsiaTheme="minorEastAsia" w:cstheme="minorEastAsia"/>
                <w:color w:val="auto"/>
                <w:sz w:val="24"/>
                <w:highlight w:val="none"/>
              </w:rPr>
            </w:pPr>
          </w:p>
        </w:tc>
      </w:tr>
      <w:tr w14:paraId="5C22FC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69EB5A5A">
            <w:pPr>
              <w:jc w:val="center"/>
              <w:rPr>
                <w:rFonts w:asciiTheme="minorEastAsia" w:hAnsiTheme="minorEastAsia" w:eastAsiaTheme="minorEastAsia" w:cstheme="minorEastAsia"/>
                <w:color w:val="auto"/>
                <w:sz w:val="24"/>
                <w:highlight w:val="none"/>
              </w:rPr>
            </w:pPr>
          </w:p>
        </w:tc>
        <w:tc>
          <w:tcPr>
            <w:tcW w:w="5234" w:type="dxa"/>
            <w:vAlign w:val="center"/>
          </w:tcPr>
          <w:p w14:paraId="0C97644D">
            <w:pPr>
              <w:jc w:val="center"/>
              <w:rPr>
                <w:rFonts w:asciiTheme="minorEastAsia" w:hAnsiTheme="minorEastAsia" w:eastAsiaTheme="minorEastAsia" w:cstheme="minorEastAsia"/>
                <w:color w:val="auto"/>
                <w:sz w:val="24"/>
                <w:highlight w:val="none"/>
              </w:rPr>
            </w:pPr>
          </w:p>
        </w:tc>
        <w:tc>
          <w:tcPr>
            <w:tcW w:w="1559" w:type="dxa"/>
            <w:vAlign w:val="center"/>
          </w:tcPr>
          <w:p w14:paraId="22CDB8FB">
            <w:pPr>
              <w:jc w:val="center"/>
              <w:rPr>
                <w:rFonts w:asciiTheme="minorEastAsia" w:hAnsiTheme="minorEastAsia" w:eastAsiaTheme="minorEastAsia" w:cstheme="minorEastAsia"/>
                <w:color w:val="auto"/>
                <w:sz w:val="24"/>
                <w:highlight w:val="none"/>
              </w:rPr>
            </w:pPr>
          </w:p>
        </w:tc>
        <w:tc>
          <w:tcPr>
            <w:tcW w:w="1276" w:type="dxa"/>
            <w:vMerge w:val="continue"/>
          </w:tcPr>
          <w:p w14:paraId="6F15C436">
            <w:pPr>
              <w:rPr>
                <w:rFonts w:asciiTheme="minorEastAsia" w:hAnsiTheme="minorEastAsia" w:eastAsiaTheme="minorEastAsia" w:cstheme="minorEastAsia"/>
                <w:color w:val="auto"/>
                <w:sz w:val="24"/>
                <w:highlight w:val="none"/>
              </w:rPr>
            </w:pPr>
          </w:p>
        </w:tc>
      </w:tr>
      <w:tr w14:paraId="5CEE86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6107ECBF">
            <w:pPr>
              <w:jc w:val="center"/>
              <w:rPr>
                <w:rFonts w:asciiTheme="minorEastAsia" w:hAnsiTheme="minorEastAsia" w:eastAsiaTheme="minorEastAsia" w:cstheme="minorEastAsia"/>
                <w:color w:val="auto"/>
                <w:sz w:val="24"/>
                <w:highlight w:val="none"/>
              </w:rPr>
            </w:pPr>
          </w:p>
        </w:tc>
        <w:tc>
          <w:tcPr>
            <w:tcW w:w="5234" w:type="dxa"/>
            <w:vAlign w:val="center"/>
          </w:tcPr>
          <w:p w14:paraId="7D6705F0">
            <w:pPr>
              <w:jc w:val="center"/>
              <w:rPr>
                <w:rFonts w:asciiTheme="minorEastAsia" w:hAnsiTheme="minorEastAsia" w:eastAsiaTheme="minorEastAsia" w:cstheme="minorEastAsia"/>
                <w:color w:val="auto"/>
                <w:sz w:val="24"/>
                <w:highlight w:val="none"/>
              </w:rPr>
            </w:pPr>
          </w:p>
        </w:tc>
        <w:tc>
          <w:tcPr>
            <w:tcW w:w="1559" w:type="dxa"/>
            <w:vAlign w:val="center"/>
          </w:tcPr>
          <w:p w14:paraId="4E5A70B7">
            <w:pPr>
              <w:jc w:val="center"/>
              <w:rPr>
                <w:rFonts w:asciiTheme="minorEastAsia" w:hAnsiTheme="minorEastAsia" w:eastAsiaTheme="minorEastAsia" w:cstheme="minorEastAsia"/>
                <w:color w:val="auto"/>
                <w:sz w:val="24"/>
                <w:highlight w:val="none"/>
              </w:rPr>
            </w:pPr>
          </w:p>
        </w:tc>
        <w:tc>
          <w:tcPr>
            <w:tcW w:w="1276" w:type="dxa"/>
            <w:vMerge w:val="continue"/>
          </w:tcPr>
          <w:p w14:paraId="5679BBD8">
            <w:pPr>
              <w:rPr>
                <w:rFonts w:asciiTheme="minorEastAsia" w:hAnsiTheme="minorEastAsia" w:eastAsiaTheme="minorEastAsia" w:cstheme="minorEastAsia"/>
                <w:color w:val="auto"/>
                <w:sz w:val="24"/>
                <w:highlight w:val="none"/>
              </w:rPr>
            </w:pPr>
          </w:p>
        </w:tc>
      </w:tr>
      <w:tr w14:paraId="52B193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702D70A0">
            <w:pPr>
              <w:jc w:val="center"/>
              <w:rPr>
                <w:rFonts w:asciiTheme="minorEastAsia" w:hAnsiTheme="minorEastAsia" w:eastAsiaTheme="minorEastAsia" w:cstheme="minorEastAsia"/>
                <w:color w:val="auto"/>
                <w:sz w:val="24"/>
                <w:highlight w:val="none"/>
              </w:rPr>
            </w:pPr>
          </w:p>
        </w:tc>
        <w:tc>
          <w:tcPr>
            <w:tcW w:w="5234" w:type="dxa"/>
            <w:vAlign w:val="center"/>
          </w:tcPr>
          <w:p w14:paraId="455ACBC1">
            <w:pPr>
              <w:jc w:val="center"/>
              <w:rPr>
                <w:rFonts w:asciiTheme="minorEastAsia" w:hAnsiTheme="minorEastAsia" w:eastAsiaTheme="minorEastAsia" w:cstheme="minorEastAsia"/>
                <w:color w:val="auto"/>
                <w:sz w:val="24"/>
                <w:highlight w:val="none"/>
              </w:rPr>
            </w:pPr>
          </w:p>
        </w:tc>
        <w:tc>
          <w:tcPr>
            <w:tcW w:w="1559" w:type="dxa"/>
            <w:vAlign w:val="center"/>
          </w:tcPr>
          <w:p w14:paraId="00685CB3">
            <w:pPr>
              <w:jc w:val="center"/>
              <w:rPr>
                <w:rFonts w:asciiTheme="minorEastAsia" w:hAnsiTheme="minorEastAsia" w:eastAsiaTheme="minorEastAsia" w:cstheme="minorEastAsia"/>
                <w:color w:val="auto"/>
                <w:sz w:val="24"/>
                <w:highlight w:val="none"/>
              </w:rPr>
            </w:pPr>
          </w:p>
        </w:tc>
        <w:tc>
          <w:tcPr>
            <w:tcW w:w="1276" w:type="dxa"/>
            <w:vMerge w:val="continue"/>
          </w:tcPr>
          <w:p w14:paraId="42EAA35B">
            <w:pPr>
              <w:rPr>
                <w:rFonts w:asciiTheme="minorEastAsia" w:hAnsiTheme="minorEastAsia" w:eastAsiaTheme="minorEastAsia" w:cstheme="minorEastAsia"/>
                <w:color w:val="auto"/>
                <w:sz w:val="24"/>
                <w:highlight w:val="none"/>
              </w:rPr>
            </w:pPr>
          </w:p>
        </w:tc>
      </w:tr>
      <w:tr w14:paraId="057318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27D334A7">
            <w:pPr>
              <w:jc w:val="center"/>
              <w:rPr>
                <w:rFonts w:asciiTheme="minorEastAsia" w:hAnsiTheme="minorEastAsia" w:eastAsiaTheme="minorEastAsia" w:cstheme="minorEastAsia"/>
                <w:color w:val="auto"/>
                <w:sz w:val="24"/>
                <w:highlight w:val="none"/>
              </w:rPr>
            </w:pPr>
          </w:p>
        </w:tc>
        <w:tc>
          <w:tcPr>
            <w:tcW w:w="5234" w:type="dxa"/>
            <w:vAlign w:val="center"/>
          </w:tcPr>
          <w:p w14:paraId="6CAF316E">
            <w:pPr>
              <w:jc w:val="center"/>
              <w:rPr>
                <w:rFonts w:asciiTheme="minorEastAsia" w:hAnsiTheme="minorEastAsia" w:eastAsiaTheme="minorEastAsia" w:cstheme="minorEastAsia"/>
                <w:color w:val="auto"/>
                <w:sz w:val="24"/>
                <w:highlight w:val="none"/>
              </w:rPr>
            </w:pPr>
          </w:p>
        </w:tc>
        <w:tc>
          <w:tcPr>
            <w:tcW w:w="1559" w:type="dxa"/>
            <w:vAlign w:val="center"/>
          </w:tcPr>
          <w:p w14:paraId="65EBD4C5">
            <w:pPr>
              <w:jc w:val="center"/>
              <w:rPr>
                <w:rFonts w:asciiTheme="minorEastAsia" w:hAnsiTheme="minorEastAsia" w:eastAsiaTheme="minorEastAsia" w:cstheme="minorEastAsia"/>
                <w:color w:val="auto"/>
                <w:sz w:val="24"/>
                <w:highlight w:val="none"/>
              </w:rPr>
            </w:pPr>
          </w:p>
        </w:tc>
        <w:tc>
          <w:tcPr>
            <w:tcW w:w="1276" w:type="dxa"/>
            <w:vMerge w:val="continue"/>
          </w:tcPr>
          <w:p w14:paraId="022BD9B7">
            <w:pPr>
              <w:rPr>
                <w:rFonts w:asciiTheme="minorEastAsia" w:hAnsiTheme="minorEastAsia" w:eastAsiaTheme="minorEastAsia" w:cstheme="minorEastAsia"/>
                <w:color w:val="auto"/>
                <w:sz w:val="24"/>
                <w:highlight w:val="none"/>
              </w:rPr>
            </w:pPr>
          </w:p>
        </w:tc>
      </w:tr>
      <w:tr w14:paraId="674A8C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74069577">
            <w:pPr>
              <w:jc w:val="center"/>
              <w:rPr>
                <w:rFonts w:asciiTheme="minorEastAsia" w:hAnsiTheme="minorEastAsia" w:eastAsiaTheme="minorEastAsia" w:cstheme="minorEastAsia"/>
                <w:color w:val="auto"/>
                <w:sz w:val="24"/>
                <w:highlight w:val="none"/>
              </w:rPr>
            </w:pPr>
          </w:p>
        </w:tc>
        <w:tc>
          <w:tcPr>
            <w:tcW w:w="5234" w:type="dxa"/>
            <w:vAlign w:val="center"/>
          </w:tcPr>
          <w:p w14:paraId="17337E7F">
            <w:pPr>
              <w:jc w:val="center"/>
              <w:rPr>
                <w:rFonts w:asciiTheme="minorEastAsia" w:hAnsiTheme="minorEastAsia" w:eastAsiaTheme="minorEastAsia" w:cstheme="minorEastAsia"/>
                <w:color w:val="auto"/>
                <w:sz w:val="24"/>
                <w:highlight w:val="none"/>
              </w:rPr>
            </w:pPr>
          </w:p>
        </w:tc>
        <w:tc>
          <w:tcPr>
            <w:tcW w:w="1559" w:type="dxa"/>
            <w:vAlign w:val="center"/>
          </w:tcPr>
          <w:p w14:paraId="012F4F6C">
            <w:pPr>
              <w:jc w:val="center"/>
              <w:rPr>
                <w:rFonts w:asciiTheme="minorEastAsia" w:hAnsiTheme="minorEastAsia" w:eastAsiaTheme="minorEastAsia" w:cstheme="minorEastAsia"/>
                <w:color w:val="auto"/>
                <w:sz w:val="24"/>
                <w:highlight w:val="none"/>
              </w:rPr>
            </w:pPr>
          </w:p>
        </w:tc>
        <w:tc>
          <w:tcPr>
            <w:tcW w:w="1276" w:type="dxa"/>
            <w:vMerge w:val="continue"/>
          </w:tcPr>
          <w:p w14:paraId="51B4347D">
            <w:pPr>
              <w:rPr>
                <w:rFonts w:asciiTheme="minorEastAsia" w:hAnsiTheme="minorEastAsia" w:eastAsiaTheme="minorEastAsia" w:cstheme="minorEastAsia"/>
                <w:color w:val="auto"/>
                <w:sz w:val="24"/>
                <w:highlight w:val="none"/>
              </w:rPr>
            </w:pPr>
          </w:p>
        </w:tc>
      </w:tr>
      <w:tr w14:paraId="364C00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684DC5D8">
            <w:pPr>
              <w:jc w:val="center"/>
              <w:rPr>
                <w:rFonts w:asciiTheme="minorEastAsia" w:hAnsiTheme="minorEastAsia" w:eastAsiaTheme="minorEastAsia" w:cstheme="minorEastAsia"/>
                <w:color w:val="auto"/>
                <w:sz w:val="24"/>
                <w:highlight w:val="none"/>
              </w:rPr>
            </w:pPr>
          </w:p>
        </w:tc>
        <w:tc>
          <w:tcPr>
            <w:tcW w:w="5234" w:type="dxa"/>
            <w:vAlign w:val="center"/>
          </w:tcPr>
          <w:p w14:paraId="721BA5FD">
            <w:pPr>
              <w:jc w:val="center"/>
              <w:rPr>
                <w:rFonts w:asciiTheme="minorEastAsia" w:hAnsiTheme="minorEastAsia" w:eastAsiaTheme="minorEastAsia" w:cstheme="minorEastAsia"/>
                <w:color w:val="auto"/>
                <w:sz w:val="24"/>
                <w:highlight w:val="none"/>
              </w:rPr>
            </w:pPr>
          </w:p>
        </w:tc>
        <w:tc>
          <w:tcPr>
            <w:tcW w:w="1559" w:type="dxa"/>
            <w:vAlign w:val="center"/>
          </w:tcPr>
          <w:p w14:paraId="05592D67">
            <w:pPr>
              <w:jc w:val="center"/>
              <w:rPr>
                <w:rFonts w:asciiTheme="minorEastAsia" w:hAnsiTheme="minorEastAsia" w:eastAsiaTheme="minorEastAsia" w:cstheme="minorEastAsia"/>
                <w:color w:val="auto"/>
                <w:sz w:val="24"/>
                <w:highlight w:val="none"/>
              </w:rPr>
            </w:pPr>
          </w:p>
        </w:tc>
        <w:tc>
          <w:tcPr>
            <w:tcW w:w="1276" w:type="dxa"/>
            <w:vMerge w:val="continue"/>
          </w:tcPr>
          <w:p w14:paraId="77009421">
            <w:pPr>
              <w:rPr>
                <w:rFonts w:asciiTheme="minorEastAsia" w:hAnsiTheme="minorEastAsia" w:eastAsiaTheme="minorEastAsia" w:cstheme="minorEastAsia"/>
                <w:color w:val="auto"/>
                <w:sz w:val="24"/>
                <w:highlight w:val="none"/>
              </w:rPr>
            </w:pPr>
          </w:p>
        </w:tc>
      </w:tr>
      <w:tr w14:paraId="14A01C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0163B9A9">
            <w:pPr>
              <w:jc w:val="center"/>
              <w:rPr>
                <w:rFonts w:asciiTheme="minorEastAsia" w:hAnsiTheme="minorEastAsia" w:eastAsiaTheme="minorEastAsia" w:cstheme="minorEastAsia"/>
                <w:color w:val="auto"/>
                <w:sz w:val="24"/>
                <w:highlight w:val="none"/>
              </w:rPr>
            </w:pPr>
          </w:p>
        </w:tc>
        <w:tc>
          <w:tcPr>
            <w:tcW w:w="5234" w:type="dxa"/>
            <w:vAlign w:val="center"/>
          </w:tcPr>
          <w:p w14:paraId="1D758431">
            <w:pPr>
              <w:jc w:val="center"/>
              <w:rPr>
                <w:rFonts w:asciiTheme="minorEastAsia" w:hAnsiTheme="minorEastAsia" w:eastAsiaTheme="minorEastAsia" w:cstheme="minorEastAsia"/>
                <w:color w:val="auto"/>
                <w:sz w:val="24"/>
                <w:highlight w:val="none"/>
              </w:rPr>
            </w:pPr>
          </w:p>
        </w:tc>
        <w:tc>
          <w:tcPr>
            <w:tcW w:w="1559" w:type="dxa"/>
            <w:vAlign w:val="center"/>
          </w:tcPr>
          <w:p w14:paraId="00D4CF61">
            <w:pPr>
              <w:jc w:val="center"/>
              <w:rPr>
                <w:rFonts w:asciiTheme="minorEastAsia" w:hAnsiTheme="minorEastAsia" w:eastAsiaTheme="minorEastAsia" w:cstheme="minorEastAsia"/>
                <w:color w:val="auto"/>
                <w:sz w:val="24"/>
                <w:highlight w:val="none"/>
              </w:rPr>
            </w:pPr>
          </w:p>
        </w:tc>
        <w:tc>
          <w:tcPr>
            <w:tcW w:w="1276" w:type="dxa"/>
            <w:vMerge w:val="continue"/>
          </w:tcPr>
          <w:p w14:paraId="297FD971">
            <w:pPr>
              <w:rPr>
                <w:rFonts w:asciiTheme="minorEastAsia" w:hAnsiTheme="minorEastAsia" w:eastAsiaTheme="minorEastAsia" w:cstheme="minorEastAsia"/>
                <w:color w:val="auto"/>
                <w:sz w:val="24"/>
                <w:highlight w:val="none"/>
              </w:rPr>
            </w:pPr>
          </w:p>
        </w:tc>
      </w:tr>
      <w:tr w14:paraId="28372F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13C81E58">
            <w:pPr>
              <w:jc w:val="center"/>
              <w:rPr>
                <w:rFonts w:asciiTheme="minorEastAsia" w:hAnsiTheme="minorEastAsia" w:eastAsiaTheme="minorEastAsia" w:cstheme="minorEastAsia"/>
                <w:color w:val="auto"/>
                <w:sz w:val="24"/>
                <w:highlight w:val="none"/>
              </w:rPr>
            </w:pPr>
          </w:p>
        </w:tc>
        <w:tc>
          <w:tcPr>
            <w:tcW w:w="5234" w:type="dxa"/>
            <w:vAlign w:val="center"/>
          </w:tcPr>
          <w:p w14:paraId="54D39120">
            <w:pPr>
              <w:jc w:val="center"/>
              <w:rPr>
                <w:rFonts w:asciiTheme="minorEastAsia" w:hAnsiTheme="minorEastAsia" w:eastAsiaTheme="minorEastAsia" w:cstheme="minorEastAsia"/>
                <w:color w:val="auto"/>
                <w:sz w:val="24"/>
                <w:highlight w:val="none"/>
              </w:rPr>
            </w:pPr>
          </w:p>
        </w:tc>
        <w:tc>
          <w:tcPr>
            <w:tcW w:w="1559" w:type="dxa"/>
            <w:vAlign w:val="center"/>
          </w:tcPr>
          <w:p w14:paraId="52CAAC07">
            <w:pPr>
              <w:jc w:val="center"/>
              <w:rPr>
                <w:rFonts w:asciiTheme="minorEastAsia" w:hAnsiTheme="minorEastAsia" w:eastAsiaTheme="minorEastAsia" w:cstheme="minorEastAsia"/>
                <w:color w:val="auto"/>
                <w:sz w:val="24"/>
                <w:highlight w:val="none"/>
              </w:rPr>
            </w:pPr>
          </w:p>
        </w:tc>
        <w:tc>
          <w:tcPr>
            <w:tcW w:w="1276" w:type="dxa"/>
            <w:vMerge w:val="continue"/>
          </w:tcPr>
          <w:p w14:paraId="615C68E8">
            <w:pPr>
              <w:rPr>
                <w:rFonts w:asciiTheme="minorEastAsia" w:hAnsiTheme="minorEastAsia" w:eastAsiaTheme="minorEastAsia" w:cstheme="minorEastAsia"/>
                <w:color w:val="auto"/>
                <w:sz w:val="24"/>
                <w:highlight w:val="none"/>
              </w:rPr>
            </w:pPr>
          </w:p>
        </w:tc>
      </w:tr>
      <w:tr w14:paraId="45CBC2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2C97AD26">
            <w:pPr>
              <w:jc w:val="center"/>
              <w:rPr>
                <w:rFonts w:asciiTheme="minorEastAsia" w:hAnsiTheme="minorEastAsia" w:eastAsiaTheme="minorEastAsia" w:cstheme="minorEastAsia"/>
                <w:color w:val="auto"/>
                <w:sz w:val="24"/>
                <w:highlight w:val="none"/>
              </w:rPr>
            </w:pPr>
          </w:p>
        </w:tc>
        <w:tc>
          <w:tcPr>
            <w:tcW w:w="5234" w:type="dxa"/>
            <w:vAlign w:val="center"/>
          </w:tcPr>
          <w:p w14:paraId="3EC8B64C">
            <w:pPr>
              <w:jc w:val="center"/>
              <w:rPr>
                <w:rFonts w:asciiTheme="minorEastAsia" w:hAnsiTheme="minorEastAsia" w:eastAsiaTheme="minorEastAsia" w:cstheme="minorEastAsia"/>
                <w:color w:val="auto"/>
                <w:sz w:val="24"/>
                <w:highlight w:val="none"/>
              </w:rPr>
            </w:pPr>
          </w:p>
        </w:tc>
        <w:tc>
          <w:tcPr>
            <w:tcW w:w="1559" w:type="dxa"/>
            <w:vAlign w:val="center"/>
          </w:tcPr>
          <w:p w14:paraId="3FC1F4F0">
            <w:pPr>
              <w:jc w:val="center"/>
              <w:rPr>
                <w:rFonts w:asciiTheme="minorEastAsia" w:hAnsiTheme="minorEastAsia" w:eastAsiaTheme="minorEastAsia" w:cstheme="minorEastAsia"/>
                <w:color w:val="auto"/>
                <w:sz w:val="24"/>
                <w:highlight w:val="none"/>
              </w:rPr>
            </w:pPr>
          </w:p>
        </w:tc>
        <w:tc>
          <w:tcPr>
            <w:tcW w:w="1276" w:type="dxa"/>
            <w:vMerge w:val="continue"/>
          </w:tcPr>
          <w:p w14:paraId="3F0FF7F3">
            <w:pPr>
              <w:rPr>
                <w:rFonts w:asciiTheme="minorEastAsia" w:hAnsiTheme="minorEastAsia" w:eastAsiaTheme="minorEastAsia" w:cstheme="minorEastAsia"/>
                <w:color w:val="auto"/>
                <w:sz w:val="24"/>
                <w:highlight w:val="none"/>
              </w:rPr>
            </w:pPr>
          </w:p>
        </w:tc>
      </w:tr>
      <w:tr w14:paraId="72A5AE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20" w:type="dxa"/>
            <w:vAlign w:val="center"/>
          </w:tcPr>
          <w:p w14:paraId="6DFAB47E">
            <w:pPr>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合计</w:t>
            </w:r>
          </w:p>
        </w:tc>
        <w:tc>
          <w:tcPr>
            <w:tcW w:w="5234" w:type="dxa"/>
            <w:vAlign w:val="center"/>
          </w:tcPr>
          <w:p w14:paraId="33047382">
            <w:pPr>
              <w:jc w:val="center"/>
              <w:rPr>
                <w:rFonts w:asciiTheme="minorEastAsia" w:hAnsiTheme="minorEastAsia" w:eastAsiaTheme="minorEastAsia" w:cstheme="minorEastAsia"/>
                <w:b/>
                <w:color w:val="auto"/>
                <w:sz w:val="24"/>
                <w:highlight w:val="none"/>
              </w:rPr>
            </w:pPr>
          </w:p>
        </w:tc>
        <w:tc>
          <w:tcPr>
            <w:tcW w:w="1559" w:type="dxa"/>
            <w:vAlign w:val="center"/>
          </w:tcPr>
          <w:p w14:paraId="116ED130">
            <w:pPr>
              <w:jc w:val="center"/>
              <w:rPr>
                <w:rFonts w:asciiTheme="minorEastAsia" w:hAnsiTheme="minorEastAsia" w:eastAsiaTheme="minorEastAsia" w:cstheme="minorEastAsia"/>
                <w:b/>
                <w:color w:val="auto"/>
                <w:sz w:val="24"/>
                <w:highlight w:val="none"/>
              </w:rPr>
            </w:pPr>
          </w:p>
        </w:tc>
        <w:tc>
          <w:tcPr>
            <w:tcW w:w="1276" w:type="dxa"/>
            <w:vMerge w:val="continue"/>
          </w:tcPr>
          <w:p w14:paraId="44C93D5F">
            <w:pPr>
              <w:jc w:val="center"/>
              <w:rPr>
                <w:rFonts w:asciiTheme="minorEastAsia" w:hAnsiTheme="minorEastAsia" w:eastAsiaTheme="minorEastAsia" w:cstheme="minorEastAsia"/>
                <w:b/>
                <w:color w:val="auto"/>
                <w:sz w:val="24"/>
                <w:highlight w:val="none"/>
              </w:rPr>
            </w:pPr>
          </w:p>
        </w:tc>
      </w:tr>
    </w:tbl>
    <w:p w14:paraId="7D579890">
      <w:pPr>
        <w:rPr>
          <w:rFonts w:asciiTheme="minorEastAsia" w:hAnsiTheme="minorEastAsia" w:eastAsiaTheme="minorEastAsia" w:cstheme="minorEastAsia"/>
          <w:color w:val="auto"/>
          <w:sz w:val="24"/>
          <w:highlight w:val="none"/>
        </w:rPr>
      </w:pPr>
    </w:p>
    <w:p w14:paraId="438C893D">
      <w:pPr>
        <w:pStyle w:val="3"/>
        <w:spacing w:before="156" w:beforeLines="50" w:after="156" w:afterLines="50" w:line="560" w:lineRule="exact"/>
        <w:jc w:val="left"/>
        <w:rPr>
          <w:rFonts w:asciiTheme="minorEastAsia" w:hAnsiTheme="minorEastAsia" w:eastAsiaTheme="minorEastAsia" w:cstheme="minorEastAsia"/>
          <w:color w:val="auto"/>
          <w:sz w:val="24"/>
          <w:szCs w:val="24"/>
          <w:highlight w:val="none"/>
        </w:rPr>
      </w:pPr>
      <w:bookmarkStart w:id="58" w:name="_Toc1727"/>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b w:val="0"/>
          <w:bCs w:val="0"/>
          <w:color w:val="auto"/>
          <w:sz w:val="24"/>
          <w:szCs w:val="24"/>
          <w:highlight w:val="none"/>
        </w:rPr>
        <w:t>本表应清楚地标明供应商拟提供的服务费用等内容，其合计价格应与响应一览表中的总报价保持一致。</w:t>
      </w:r>
      <w:bookmarkEnd w:id="58"/>
    </w:p>
    <w:p w14:paraId="5240B6A3">
      <w:pPr>
        <w:rPr>
          <w:rFonts w:asciiTheme="minorEastAsia" w:hAnsiTheme="minorEastAsia" w:eastAsiaTheme="minorEastAsia" w:cstheme="minorEastAsia"/>
          <w:color w:val="auto"/>
          <w:sz w:val="24"/>
          <w:highlight w:val="none"/>
        </w:rPr>
      </w:pPr>
    </w:p>
    <w:p w14:paraId="266DD948">
      <w:pPr>
        <w:pStyle w:val="3"/>
        <w:spacing w:before="156" w:beforeLines="50" w:after="156" w:afterLines="50" w:line="560" w:lineRule="exact"/>
        <w:jc w:val="center"/>
        <w:rPr>
          <w:rFonts w:asciiTheme="minorEastAsia" w:hAnsiTheme="minorEastAsia" w:eastAsiaTheme="minorEastAsia" w:cstheme="minorEastAsia"/>
          <w:color w:val="auto"/>
          <w:sz w:val="24"/>
          <w:szCs w:val="24"/>
          <w:highlight w:val="none"/>
        </w:rPr>
      </w:pPr>
    </w:p>
    <w:p w14:paraId="1C162081">
      <w:pPr>
        <w:rPr>
          <w:color w:val="auto"/>
          <w:highlight w:val="none"/>
        </w:rPr>
      </w:pPr>
    </w:p>
    <w:p w14:paraId="0E5AD63F">
      <w:pPr>
        <w:pStyle w:val="3"/>
        <w:suppressLineNumbers/>
        <w:spacing w:before="156" w:beforeLines="50" w:after="156" w:afterLines="50" w:line="560" w:lineRule="exact"/>
        <w:rPr>
          <w:rFonts w:ascii="Times New Roman" w:hAnsi="Times New Roman" w:eastAsia="宋体"/>
          <w:b w:val="0"/>
          <w:bCs w:val="0"/>
          <w:color w:val="auto"/>
          <w:sz w:val="21"/>
          <w:szCs w:val="24"/>
          <w:highlight w:val="none"/>
        </w:rPr>
      </w:pPr>
    </w:p>
    <w:p w14:paraId="62D1126C">
      <w:pPr>
        <w:rPr>
          <w:color w:val="auto"/>
          <w:highlight w:val="none"/>
        </w:rPr>
      </w:pPr>
    </w:p>
    <w:p w14:paraId="1D5FD675">
      <w:pPr>
        <w:rPr>
          <w:rFonts w:ascii="宋体" w:hAnsi="宋体" w:cs="宋体"/>
          <w:color w:val="auto"/>
          <w:sz w:val="24"/>
          <w:highlight w:val="none"/>
        </w:rPr>
      </w:pPr>
      <w:r>
        <w:rPr>
          <w:rFonts w:hint="eastAsia" w:ascii="宋体" w:hAnsi="宋体" w:cs="宋体"/>
          <w:color w:val="auto"/>
          <w:sz w:val="24"/>
          <w:highlight w:val="none"/>
        </w:rPr>
        <w:br w:type="page"/>
      </w:r>
    </w:p>
    <w:p w14:paraId="6486358D">
      <w:pPr>
        <w:pStyle w:val="3"/>
        <w:spacing w:before="156" w:beforeLines="50" w:after="156" w:afterLines="50" w:line="560" w:lineRule="exact"/>
        <w:jc w:val="center"/>
        <w:rPr>
          <w:rFonts w:ascii="宋体" w:hAnsi="宋体" w:eastAsia="宋体" w:cs="宋体"/>
          <w:color w:val="auto"/>
          <w:sz w:val="24"/>
          <w:szCs w:val="24"/>
          <w:highlight w:val="none"/>
        </w:rPr>
      </w:pPr>
      <w:bookmarkStart w:id="59" w:name="_Toc27766"/>
      <w:r>
        <w:rPr>
          <w:rFonts w:hint="eastAsia" w:ascii="宋体" w:hAnsi="宋体" w:eastAsia="宋体" w:cs="宋体"/>
          <w:color w:val="auto"/>
          <w:sz w:val="24"/>
          <w:szCs w:val="24"/>
          <w:highlight w:val="none"/>
        </w:rPr>
        <w:t>六、</w:t>
      </w:r>
      <w:bookmarkEnd w:id="54"/>
      <w:bookmarkStart w:id="60" w:name="_Toc18671569"/>
      <w:r>
        <w:rPr>
          <w:rFonts w:hint="eastAsia" w:ascii="宋体" w:hAnsi="宋体" w:eastAsia="宋体" w:cs="宋体"/>
          <w:color w:val="auto"/>
          <w:sz w:val="24"/>
          <w:szCs w:val="24"/>
          <w:highlight w:val="none"/>
        </w:rPr>
        <w:t>服务要求响应情况表</w:t>
      </w:r>
      <w:bookmarkEnd w:id="59"/>
    </w:p>
    <w:p w14:paraId="5D97F22B">
      <w:pPr>
        <w:rPr>
          <w:rFonts w:asciiTheme="minorEastAsia" w:hAnsiTheme="minorEastAsia" w:eastAsiaTheme="minorEastAsia" w:cstheme="minorEastAsia"/>
          <w:color w:val="auto"/>
          <w:sz w:val="24"/>
          <w:highlight w:val="none"/>
        </w:rPr>
      </w:pPr>
    </w:p>
    <w:p w14:paraId="18924B6F">
      <w:pPr>
        <w:widowControl/>
        <w:spacing w:line="560" w:lineRule="exact"/>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采购人名称：                  </w:t>
      </w:r>
    </w:p>
    <w:p w14:paraId="72B94BA5">
      <w:pPr>
        <w:widowControl/>
        <w:spacing w:line="560" w:lineRule="exact"/>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采购代理名称：                </w:t>
      </w:r>
    </w:p>
    <w:p w14:paraId="4F9D33E2">
      <w:pPr>
        <w:widowControl/>
        <w:spacing w:line="560" w:lineRule="exact"/>
        <w:ind w:firstLine="600" w:firstLineChars="25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经过认真研究</w:t>
      </w:r>
      <w:r>
        <w:rPr>
          <w:rFonts w:hint="eastAsia" w:asciiTheme="minorEastAsia" w:hAnsiTheme="minorEastAsia" w:eastAsiaTheme="minorEastAsia" w:cstheme="minorEastAsia"/>
          <w:color w:val="auto"/>
          <w:kern w:val="0"/>
          <w:sz w:val="24"/>
          <w:highlight w:val="none"/>
          <w:u w:val="single"/>
        </w:rPr>
        <w:t>（项目名称）（项目编号）</w:t>
      </w:r>
      <w:r>
        <w:rPr>
          <w:rFonts w:hint="eastAsia" w:asciiTheme="minorEastAsia" w:hAnsiTheme="minorEastAsia" w:eastAsiaTheme="minorEastAsia" w:cstheme="minorEastAsia"/>
          <w:color w:val="auto"/>
          <w:kern w:val="0"/>
          <w:sz w:val="24"/>
          <w:highlight w:val="none"/>
        </w:rPr>
        <w:t>单一来源文件要求，我方确认，</w:t>
      </w:r>
      <w:r>
        <w:rPr>
          <w:rFonts w:hint="eastAsia" w:asciiTheme="minorEastAsia" w:hAnsiTheme="minorEastAsia" w:eastAsiaTheme="minorEastAsia" w:cstheme="minorEastAsia"/>
          <w:b/>
          <w:color w:val="auto"/>
          <w:kern w:val="0"/>
          <w:sz w:val="24"/>
          <w:highlight w:val="none"/>
        </w:rPr>
        <w:t>除下列偏离表所列情况外，我方响应情况全部为“符合”</w:t>
      </w:r>
      <w:r>
        <w:rPr>
          <w:rFonts w:hint="eastAsia" w:asciiTheme="minorEastAsia" w:hAnsiTheme="minorEastAsia" w:eastAsiaTheme="minorEastAsia" w:cstheme="minorEastAsia"/>
          <w:color w:val="auto"/>
          <w:kern w:val="0"/>
          <w:sz w:val="24"/>
          <w:highlight w:val="none"/>
        </w:rPr>
        <w:t>。</w:t>
      </w:r>
    </w:p>
    <w:p w14:paraId="0FA1EC49">
      <w:pPr>
        <w:widowControl/>
        <w:spacing w:line="600" w:lineRule="exact"/>
        <w:jc w:val="center"/>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服务要求偏离表</w:t>
      </w:r>
    </w:p>
    <w:tbl>
      <w:tblPr>
        <w:tblStyle w:val="16"/>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5"/>
        <w:gridCol w:w="2836"/>
        <w:gridCol w:w="2757"/>
        <w:gridCol w:w="2214"/>
      </w:tblGrid>
      <w:tr w14:paraId="59804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2" w:hRule="atLeast"/>
        </w:trPr>
        <w:tc>
          <w:tcPr>
            <w:tcW w:w="715" w:type="dxa"/>
            <w:tcBorders>
              <w:top w:val="single" w:color="auto" w:sz="4" w:space="0"/>
              <w:left w:val="single" w:color="auto" w:sz="4" w:space="0"/>
              <w:bottom w:val="single" w:color="auto" w:sz="4" w:space="0"/>
              <w:right w:val="single" w:color="auto" w:sz="4" w:space="0"/>
            </w:tcBorders>
            <w:vAlign w:val="center"/>
          </w:tcPr>
          <w:p w14:paraId="44C35007">
            <w:pPr>
              <w:widowControl/>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836" w:type="dxa"/>
            <w:tcBorders>
              <w:top w:val="single" w:color="auto" w:sz="4" w:space="0"/>
              <w:left w:val="single" w:color="auto" w:sz="4" w:space="0"/>
              <w:bottom w:val="single" w:color="auto" w:sz="4" w:space="0"/>
              <w:right w:val="single" w:color="auto" w:sz="4" w:space="0"/>
            </w:tcBorders>
            <w:vAlign w:val="center"/>
          </w:tcPr>
          <w:p w14:paraId="566D3BC2">
            <w:pPr>
              <w:widowControl/>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单一来源文件中要求</w:t>
            </w:r>
          </w:p>
        </w:tc>
        <w:tc>
          <w:tcPr>
            <w:tcW w:w="2757" w:type="dxa"/>
            <w:tcBorders>
              <w:top w:val="single" w:color="auto" w:sz="4" w:space="0"/>
              <w:left w:val="single" w:color="auto" w:sz="4" w:space="0"/>
              <w:bottom w:val="single" w:color="auto" w:sz="4" w:space="0"/>
              <w:right w:val="single" w:color="auto" w:sz="4" w:space="0"/>
            </w:tcBorders>
            <w:vAlign w:val="center"/>
          </w:tcPr>
          <w:p w14:paraId="320B7B28">
            <w:pPr>
              <w:widowControl/>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供应商的响应内容</w:t>
            </w:r>
          </w:p>
        </w:tc>
        <w:tc>
          <w:tcPr>
            <w:tcW w:w="2214" w:type="dxa"/>
            <w:tcBorders>
              <w:top w:val="single" w:color="auto" w:sz="4" w:space="0"/>
              <w:left w:val="single" w:color="auto" w:sz="4" w:space="0"/>
              <w:bottom w:val="single" w:color="auto" w:sz="4" w:space="0"/>
              <w:right w:val="single" w:color="auto" w:sz="4" w:space="0"/>
            </w:tcBorders>
            <w:vAlign w:val="center"/>
          </w:tcPr>
          <w:p w14:paraId="52DD58A0">
            <w:pPr>
              <w:widowControl/>
              <w:ind w:firstLine="361" w:firstLineChars="150"/>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偏离及影响</w:t>
            </w:r>
          </w:p>
          <w:p w14:paraId="0C07D1BD">
            <w:pPr>
              <w:widowControl/>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（正偏离/负偏离）</w:t>
            </w:r>
          </w:p>
        </w:tc>
      </w:tr>
      <w:tr w14:paraId="2581E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715" w:type="dxa"/>
            <w:tcBorders>
              <w:top w:val="single" w:color="auto" w:sz="4" w:space="0"/>
              <w:left w:val="single" w:color="auto" w:sz="4" w:space="0"/>
              <w:bottom w:val="single" w:color="auto" w:sz="4" w:space="0"/>
              <w:right w:val="single" w:color="auto" w:sz="4" w:space="0"/>
            </w:tcBorders>
            <w:vAlign w:val="center"/>
          </w:tcPr>
          <w:p w14:paraId="69780D15">
            <w:pPr>
              <w:widowControl/>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836" w:type="dxa"/>
            <w:vAlign w:val="center"/>
          </w:tcPr>
          <w:p w14:paraId="3F5492F6">
            <w:pPr>
              <w:widowControl/>
              <w:jc w:val="left"/>
              <w:rPr>
                <w:rFonts w:hint="default" w:asciiTheme="minorEastAsia" w:hAnsiTheme="minorEastAsia" w:eastAsiaTheme="minorEastAsia" w:cstheme="minorEastAsia"/>
                <w:color w:val="auto"/>
                <w:kern w:val="0"/>
                <w:sz w:val="24"/>
                <w:highlight w:val="none"/>
                <w:lang w:val="en-US" w:eastAsia="zh-CN"/>
              </w:rPr>
            </w:pPr>
          </w:p>
        </w:tc>
        <w:tc>
          <w:tcPr>
            <w:tcW w:w="2757" w:type="dxa"/>
            <w:vAlign w:val="center"/>
          </w:tcPr>
          <w:p w14:paraId="218BEE5E">
            <w:pPr>
              <w:widowControl/>
              <w:jc w:val="left"/>
              <w:rPr>
                <w:rFonts w:asciiTheme="minorEastAsia" w:hAnsiTheme="minorEastAsia" w:eastAsiaTheme="minorEastAsia" w:cstheme="minorEastAsia"/>
                <w:color w:val="auto"/>
                <w:kern w:val="0"/>
                <w:sz w:val="24"/>
                <w:highlight w:val="none"/>
              </w:rPr>
            </w:pPr>
          </w:p>
        </w:tc>
        <w:tc>
          <w:tcPr>
            <w:tcW w:w="2214" w:type="dxa"/>
            <w:vAlign w:val="center"/>
          </w:tcPr>
          <w:p w14:paraId="2C4F3A31">
            <w:pPr>
              <w:widowControl/>
              <w:jc w:val="left"/>
              <w:rPr>
                <w:rFonts w:asciiTheme="minorEastAsia" w:hAnsiTheme="minorEastAsia" w:eastAsiaTheme="minorEastAsia" w:cstheme="minorEastAsia"/>
                <w:color w:val="auto"/>
                <w:kern w:val="0"/>
                <w:sz w:val="24"/>
                <w:highlight w:val="none"/>
              </w:rPr>
            </w:pPr>
          </w:p>
        </w:tc>
      </w:tr>
      <w:tr w14:paraId="5085F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trPr>
        <w:tc>
          <w:tcPr>
            <w:tcW w:w="715" w:type="dxa"/>
            <w:tcBorders>
              <w:top w:val="single" w:color="auto" w:sz="4" w:space="0"/>
              <w:left w:val="single" w:color="auto" w:sz="4" w:space="0"/>
              <w:bottom w:val="single" w:color="auto" w:sz="4" w:space="0"/>
              <w:right w:val="single" w:color="auto" w:sz="4" w:space="0"/>
            </w:tcBorders>
            <w:vAlign w:val="center"/>
          </w:tcPr>
          <w:p w14:paraId="68FABF05">
            <w:pPr>
              <w:widowControl/>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836" w:type="dxa"/>
            <w:vAlign w:val="center"/>
          </w:tcPr>
          <w:p w14:paraId="5E73DF6C">
            <w:pPr>
              <w:widowControl/>
              <w:jc w:val="left"/>
              <w:rPr>
                <w:rFonts w:asciiTheme="minorEastAsia" w:hAnsiTheme="minorEastAsia" w:eastAsiaTheme="minorEastAsia" w:cstheme="minorEastAsia"/>
                <w:color w:val="auto"/>
                <w:kern w:val="0"/>
                <w:sz w:val="24"/>
                <w:highlight w:val="none"/>
              </w:rPr>
            </w:pPr>
          </w:p>
        </w:tc>
        <w:tc>
          <w:tcPr>
            <w:tcW w:w="2757" w:type="dxa"/>
            <w:vAlign w:val="center"/>
          </w:tcPr>
          <w:p w14:paraId="36CBD596">
            <w:pPr>
              <w:widowControl/>
              <w:jc w:val="left"/>
              <w:rPr>
                <w:rFonts w:asciiTheme="minorEastAsia" w:hAnsiTheme="minorEastAsia" w:eastAsiaTheme="minorEastAsia" w:cstheme="minorEastAsia"/>
                <w:color w:val="auto"/>
                <w:kern w:val="0"/>
                <w:sz w:val="24"/>
                <w:highlight w:val="none"/>
              </w:rPr>
            </w:pPr>
          </w:p>
        </w:tc>
        <w:tc>
          <w:tcPr>
            <w:tcW w:w="2214" w:type="dxa"/>
            <w:vAlign w:val="center"/>
          </w:tcPr>
          <w:p w14:paraId="2BB22DA8">
            <w:pPr>
              <w:widowControl/>
              <w:jc w:val="left"/>
              <w:rPr>
                <w:rFonts w:asciiTheme="minorEastAsia" w:hAnsiTheme="minorEastAsia" w:eastAsiaTheme="minorEastAsia" w:cstheme="minorEastAsia"/>
                <w:color w:val="auto"/>
                <w:kern w:val="0"/>
                <w:sz w:val="24"/>
                <w:highlight w:val="none"/>
              </w:rPr>
            </w:pPr>
          </w:p>
        </w:tc>
      </w:tr>
      <w:tr w14:paraId="65168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715" w:type="dxa"/>
            <w:tcBorders>
              <w:top w:val="single" w:color="auto" w:sz="4" w:space="0"/>
              <w:left w:val="single" w:color="auto" w:sz="4" w:space="0"/>
              <w:bottom w:val="single" w:color="auto" w:sz="4" w:space="0"/>
              <w:right w:val="single" w:color="auto" w:sz="4" w:space="0"/>
            </w:tcBorders>
            <w:vAlign w:val="center"/>
          </w:tcPr>
          <w:p w14:paraId="263C0ECC">
            <w:pPr>
              <w:widowControl/>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836" w:type="dxa"/>
            <w:vAlign w:val="center"/>
          </w:tcPr>
          <w:p w14:paraId="629D5A2C">
            <w:pPr>
              <w:widowControl/>
              <w:jc w:val="left"/>
              <w:rPr>
                <w:rFonts w:asciiTheme="minorEastAsia" w:hAnsiTheme="minorEastAsia" w:eastAsiaTheme="minorEastAsia" w:cstheme="minorEastAsia"/>
                <w:color w:val="auto"/>
                <w:kern w:val="0"/>
                <w:sz w:val="24"/>
                <w:highlight w:val="none"/>
              </w:rPr>
            </w:pPr>
          </w:p>
        </w:tc>
        <w:tc>
          <w:tcPr>
            <w:tcW w:w="2757" w:type="dxa"/>
            <w:vAlign w:val="center"/>
          </w:tcPr>
          <w:p w14:paraId="653543C7">
            <w:pPr>
              <w:widowControl/>
              <w:jc w:val="left"/>
              <w:rPr>
                <w:rFonts w:asciiTheme="minorEastAsia" w:hAnsiTheme="minorEastAsia" w:eastAsiaTheme="minorEastAsia" w:cstheme="minorEastAsia"/>
                <w:color w:val="auto"/>
                <w:kern w:val="0"/>
                <w:sz w:val="24"/>
                <w:highlight w:val="none"/>
              </w:rPr>
            </w:pPr>
          </w:p>
        </w:tc>
        <w:tc>
          <w:tcPr>
            <w:tcW w:w="2214" w:type="dxa"/>
            <w:vAlign w:val="center"/>
          </w:tcPr>
          <w:p w14:paraId="1F2A5009">
            <w:pPr>
              <w:widowControl/>
              <w:jc w:val="left"/>
              <w:rPr>
                <w:rFonts w:asciiTheme="minorEastAsia" w:hAnsiTheme="minorEastAsia" w:eastAsiaTheme="minorEastAsia" w:cstheme="minorEastAsia"/>
                <w:color w:val="auto"/>
                <w:kern w:val="0"/>
                <w:sz w:val="24"/>
                <w:highlight w:val="none"/>
              </w:rPr>
            </w:pPr>
          </w:p>
        </w:tc>
      </w:tr>
      <w:tr w14:paraId="3F026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715" w:type="dxa"/>
            <w:tcBorders>
              <w:top w:val="single" w:color="auto" w:sz="4" w:space="0"/>
              <w:left w:val="single" w:color="auto" w:sz="4" w:space="0"/>
              <w:bottom w:val="single" w:color="auto" w:sz="4" w:space="0"/>
              <w:right w:val="single" w:color="auto" w:sz="4" w:space="0"/>
            </w:tcBorders>
            <w:vAlign w:val="center"/>
          </w:tcPr>
          <w:p w14:paraId="63FFA56A">
            <w:pPr>
              <w:widowControl/>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836" w:type="dxa"/>
            <w:vAlign w:val="center"/>
          </w:tcPr>
          <w:p w14:paraId="10B77BB0">
            <w:pPr>
              <w:widowControl/>
              <w:jc w:val="left"/>
              <w:rPr>
                <w:rFonts w:asciiTheme="minorEastAsia" w:hAnsiTheme="minorEastAsia" w:eastAsiaTheme="minorEastAsia" w:cstheme="minorEastAsia"/>
                <w:color w:val="auto"/>
                <w:kern w:val="0"/>
                <w:sz w:val="24"/>
                <w:highlight w:val="none"/>
              </w:rPr>
            </w:pPr>
          </w:p>
        </w:tc>
        <w:tc>
          <w:tcPr>
            <w:tcW w:w="2757" w:type="dxa"/>
            <w:vAlign w:val="center"/>
          </w:tcPr>
          <w:p w14:paraId="6B16455C">
            <w:pPr>
              <w:widowControl/>
              <w:jc w:val="left"/>
              <w:rPr>
                <w:rFonts w:asciiTheme="minorEastAsia" w:hAnsiTheme="minorEastAsia" w:eastAsiaTheme="minorEastAsia" w:cstheme="minorEastAsia"/>
                <w:color w:val="auto"/>
                <w:kern w:val="0"/>
                <w:sz w:val="24"/>
                <w:highlight w:val="none"/>
              </w:rPr>
            </w:pPr>
          </w:p>
        </w:tc>
        <w:tc>
          <w:tcPr>
            <w:tcW w:w="2214" w:type="dxa"/>
            <w:vAlign w:val="center"/>
          </w:tcPr>
          <w:p w14:paraId="1F45FA83">
            <w:pPr>
              <w:widowControl/>
              <w:jc w:val="left"/>
              <w:rPr>
                <w:rFonts w:asciiTheme="minorEastAsia" w:hAnsiTheme="minorEastAsia" w:eastAsiaTheme="minorEastAsia" w:cstheme="minorEastAsia"/>
                <w:color w:val="auto"/>
                <w:kern w:val="0"/>
                <w:sz w:val="24"/>
                <w:highlight w:val="none"/>
              </w:rPr>
            </w:pPr>
          </w:p>
        </w:tc>
      </w:tr>
    </w:tbl>
    <w:p w14:paraId="539382BF">
      <w:pPr>
        <w:spacing w:line="360" w:lineRule="auto"/>
        <w:rPr>
          <w:rFonts w:asciiTheme="minorEastAsia" w:hAnsiTheme="minorEastAsia" w:eastAsiaTheme="minorEastAsia" w:cstheme="minorEastAsia"/>
          <w:b/>
          <w:bCs/>
          <w:color w:val="auto"/>
          <w:sz w:val="24"/>
          <w:highlight w:val="none"/>
        </w:rPr>
      </w:pPr>
    </w:p>
    <w:p w14:paraId="116C80FD">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供应商</w:t>
      </w:r>
      <w:r>
        <w:rPr>
          <w:rFonts w:hint="eastAsia" w:asciiTheme="minorEastAsia" w:hAnsiTheme="minorEastAsia" w:eastAsiaTheme="minorEastAsia" w:cstheme="minorEastAsia"/>
          <w:b/>
          <w:bCs/>
          <w:color w:val="auto"/>
          <w:sz w:val="24"/>
          <w:highlight w:val="none"/>
          <w:lang w:val="en-US" w:eastAsia="zh-CN"/>
        </w:rPr>
        <w:t>盖章</w:t>
      </w:r>
      <w:r>
        <w:rPr>
          <w:rFonts w:hint="eastAsia" w:asciiTheme="minorEastAsia" w:hAnsiTheme="minorEastAsia" w:eastAsiaTheme="minorEastAsia" w:cstheme="minorEastAsia"/>
          <w:b/>
          <w:bCs/>
          <w:color w:val="auto"/>
          <w:sz w:val="24"/>
          <w:highlight w:val="none"/>
        </w:rPr>
        <w:t>：</w:t>
      </w:r>
    </w:p>
    <w:p w14:paraId="46491822">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     年   月   日</w:t>
      </w:r>
    </w:p>
    <w:p w14:paraId="6CB03031">
      <w:pPr>
        <w:rPr>
          <w:rFonts w:asciiTheme="minorEastAsia" w:hAnsiTheme="minorEastAsia" w:eastAsiaTheme="minorEastAsia" w:cstheme="minorEastAsia"/>
          <w:color w:val="auto"/>
          <w:kern w:val="0"/>
          <w:sz w:val="24"/>
          <w:highlight w:val="none"/>
        </w:rPr>
      </w:pPr>
    </w:p>
    <w:p w14:paraId="7B90451F">
      <w:pPr>
        <w:ind w:firstLine="5160" w:firstLineChars="2150"/>
        <w:rPr>
          <w:rFonts w:asciiTheme="minorEastAsia" w:hAnsiTheme="minorEastAsia" w:eastAsiaTheme="minorEastAsia" w:cstheme="minorEastAsia"/>
          <w:color w:val="auto"/>
          <w:kern w:val="0"/>
          <w:sz w:val="24"/>
          <w:highlight w:val="none"/>
        </w:rPr>
      </w:pPr>
    </w:p>
    <w:p w14:paraId="3383FD34">
      <w:pPr>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注：</w:t>
      </w:r>
    </w:p>
    <w:p w14:paraId="2F5B93ED">
      <w:pPr>
        <w:spacing w:line="44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服务要求偏离表中供应商的响应内容低于单一来源文件要求的，协商小组不寻求其他证明材料，直接判定该项要求为负偏离。</w:t>
      </w:r>
    </w:p>
    <w:p w14:paraId="7379DD41">
      <w:pPr>
        <w:pStyle w:val="3"/>
        <w:spacing w:before="156" w:beforeLines="50" w:after="156" w:afterLines="50" w:line="560" w:lineRule="exact"/>
        <w:jc w:val="center"/>
        <w:rPr>
          <w:rFonts w:ascii="宋体" w:hAnsi="宋体" w:cs="宋体"/>
          <w:color w:val="auto"/>
          <w:sz w:val="24"/>
          <w:highlight w:val="none"/>
        </w:rPr>
      </w:pPr>
      <w:r>
        <w:rPr>
          <w:rFonts w:hint="eastAsia" w:ascii="宋体" w:hAnsi="宋体" w:cs="宋体"/>
          <w:color w:val="auto"/>
          <w:sz w:val="24"/>
          <w:highlight w:val="none"/>
        </w:rPr>
        <w:br w:type="page"/>
      </w:r>
    </w:p>
    <w:bookmarkEnd w:id="55"/>
    <w:bookmarkEnd w:id="56"/>
    <w:bookmarkEnd w:id="60"/>
    <w:p w14:paraId="7578C221">
      <w:pPr>
        <w:pStyle w:val="3"/>
        <w:spacing w:before="156" w:beforeLines="50" w:after="156" w:afterLines="50" w:line="560" w:lineRule="exact"/>
        <w:jc w:val="center"/>
        <w:rPr>
          <w:rFonts w:ascii="宋体" w:hAnsi="宋体" w:eastAsia="宋体" w:cs="宋体"/>
          <w:color w:val="auto"/>
          <w:sz w:val="24"/>
          <w:szCs w:val="24"/>
          <w:highlight w:val="none"/>
        </w:rPr>
      </w:pPr>
      <w:bookmarkStart w:id="61" w:name="_Toc18671571"/>
      <w:bookmarkStart w:id="62" w:name="_Toc29403"/>
      <w:r>
        <w:rPr>
          <w:rFonts w:hint="eastAsia" w:ascii="宋体" w:hAnsi="宋体" w:eastAsia="宋体" w:cs="宋体"/>
          <w:color w:val="auto"/>
          <w:sz w:val="24"/>
          <w:szCs w:val="24"/>
          <w:highlight w:val="none"/>
        </w:rPr>
        <w:t>七、方案</w:t>
      </w:r>
      <w:bookmarkEnd w:id="61"/>
      <w:bookmarkEnd w:id="62"/>
    </w:p>
    <w:p w14:paraId="5553AB13">
      <w:pPr>
        <w:spacing w:line="440" w:lineRule="exact"/>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（一）</w:t>
      </w:r>
      <w:r>
        <w:rPr>
          <w:rFonts w:hint="eastAsia" w:ascii="宋体" w:hAnsi="宋体" w:cs="宋体"/>
          <w:b/>
          <w:color w:val="auto"/>
          <w:sz w:val="24"/>
          <w:highlight w:val="none"/>
        </w:rPr>
        <w:t>服务方案</w:t>
      </w:r>
    </w:p>
    <w:p w14:paraId="25D84803">
      <w:pPr>
        <w:spacing w:line="440" w:lineRule="exact"/>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（二）质量及售后服务等</w:t>
      </w:r>
    </w:p>
    <w:p w14:paraId="28A4ED1A">
      <w:pPr>
        <w:spacing w:line="440" w:lineRule="exact"/>
        <w:ind w:firstLine="2706" w:firstLineChars="1123"/>
        <w:jc w:val="left"/>
        <w:rPr>
          <w:rFonts w:asciiTheme="minorEastAsia" w:hAnsiTheme="minorEastAsia" w:eastAsiaTheme="minorEastAsia" w:cstheme="minorEastAsia"/>
          <w:b/>
          <w:color w:val="auto"/>
          <w:sz w:val="24"/>
          <w:highlight w:val="none"/>
        </w:rPr>
      </w:pPr>
    </w:p>
    <w:p w14:paraId="59460D81">
      <w:pPr>
        <w:numPr>
          <w:ilvl w:val="0"/>
          <w:numId w:val="3"/>
        </w:numPr>
        <w:spacing w:before="156" w:beforeLines="50" w:after="156" w:afterLines="50" w:line="560" w:lineRule="exact"/>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br w:type="page"/>
      </w:r>
      <w:bookmarkStart w:id="63" w:name="_Toc18671573"/>
      <w:bookmarkStart w:id="64" w:name="_Toc15376906"/>
      <w:bookmarkStart w:id="65" w:name="_Toc30204"/>
      <w:r>
        <w:rPr>
          <w:rStyle w:val="39"/>
          <w:rFonts w:hint="eastAsia" w:ascii="宋体" w:hAnsi="宋体" w:eastAsia="宋体" w:cs="宋体"/>
          <w:color w:val="auto"/>
          <w:sz w:val="24"/>
          <w:szCs w:val="24"/>
          <w:highlight w:val="none"/>
        </w:rPr>
        <w:t>联合体协议</w:t>
      </w:r>
      <w:bookmarkEnd w:id="63"/>
      <w:bookmarkEnd w:id="64"/>
      <w:bookmarkEnd w:id="65"/>
    </w:p>
    <w:p w14:paraId="080CA607">
      <w:pPr>
        <w:jc w:val="center"/>
        <w:rPr>
          <w:rFonts w:asciiTheme="minorEastAsia" w:hAnsiTheme="minorEastAsia" w:eastAsiaTheme="minorEastAsia" w:cstheme="minorEastAsia"/>
          <w:color w:val="auto"/>
          <w:sz w:val="24"/>
          <w:highlight w:val="none"/>
        </w:rPr>
      </w:pPr>
      <w:r>
        <w:rPr>
          <w:rFonts w:hint="eastAsia"/>
          <w:color w:val="auto"/>
          <w:sz w:val="24"/>
          <w:highlight w:val="none"/>
        </w:rPr>
        <w:t>（不允许联合体投标或未组成联合体投标，不需此件）</w:t>
      </w:r>
    </w:p>
    <w:p w14:paraId="62E57FDF">
      <w:pPr>
        <w:rPr>
          <w:rFonts w:asciiTheme="minorEastAsia" w:hAnsiTheme="minorEastAsia" w:eastAsiaTheme="minorEastAsia" w:cstheme="minorEastAsia"/>
          <w:color w:val="auto"/>
          <w:sz w:val="24"/>
          <w:highlight w:val="none"/>
        </w:rPr>
      </w:pPr>
    </w:p>
    <w:p w14:paraId="17F77149">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就“</w:t>
      </w:r>
      <w:r>
        <w:rPr>
          <w:rFonts w:hint="eastAsia" w:asciiTheme="minorEastAsia" w:hAnsiTheme="minorEastAsia" w:eastAsiaTheme="minorEastAsia" w:cstheme="minorEastAsia"/>
          <w:color w:val="auto"/>
          <w:sz w:val="24"/>
          <w:highlight w:val="none"/>
          <w:u w:val="single"/>
        </w:rPr>
        <w:t>某项目</w:t>
      </w: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某编号</w:t>
      </w:r>
      <w:r>
        <w:rPr>
          <w:rFonts w:hint="eastAsia" w:asciiTheme="minorEastAsia" w:hAnsiTheme="minorEastAsia" w:eastAsiaTheme="minorEastAsia" w:cstheme="minorEastAsia"/>
          <w:color w:val="auto"/>
          <w:sz w:val="24"/>
          <w:highlight w:val="none"/>
        </w:rPr>
        <w:t>）的响应有关事宜，经充分协商一致，达成如下协议：</w:t>
      </w:r>
    </w:p>
    <w:p w14:paraId="42BF998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一、由</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牵头，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参加，组成联合体共同参加本项目的单一来源活动。</w:t>
      </w:r>
    </w:p>
    <w:p w14:paraId="453C8F2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为本次响应的主体方，联合体以主体方的名义参加单一来源活动。主体方负责单一来源项目的一切组织、协调工作，并授权代理人以联合体的名义参加项目的单一来源活动，代理人在参加单一来源活动过程中所签署的一切文件和处理与本次单一来源活动的有关一切事物，联合体各方均予以承认并承担法律责任。联合体成交后，联合体各方共同与采购人签订合同，就本项目对采购人承担连带责任。</w:t>
      </w:r>
    </w:p>
    <w:p w14:paraId="4357621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三、如联合体成交，则主体方负责</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等工作；参加方负责</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等工作。各方各自承担相应的责任。</w:t>
      </w:r>
    </w:p>
    <w:p w14:paraId="59299D9C">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四、各方不得再以自己名义单独在本项目中参加单一来源活动，也不得组成新的联合体参加本项目单一来源活动。</w:t>
      </w:r>
    </w:p>
    <w:p w14:paraId="361FBBF8">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五、参加方负责内容的合同金额占联合体协议合同总金额百分之</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374DF83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六、主体方负责内容的合同金额占联合体协议合同总金额百分之</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73CCF81B">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七、未成交，本协议自动废止。</w:t>
      </w:r>
    </w:p>
    <w:p w14:paraId="55BBA77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主体方：（公章）                       参加方：（公章）</w:t>
      </w:r>
    </w:p>
    <w:p w14:paraId="4558AF1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                           法定代表人： </w:t>
      </w:r>
    </w:p>
    <w:p w14:paraId="4F58CCB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                                 地址：</w:t>
      </w:r>
    </w:p>
    <w:p w14:paraId="6D8FDB2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邮编：                                 邮编：</w:t>
      </w:r>
    </w:p>
    <w:p w14:paraId="2F14F93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                                 电话：</w:t>
      </w:r>
    </w:p>
    <w:p w14:paraId="34511093">
      <w:pPr>
        <w:pStyle w:val="11"/>
        <w:spacing w:line="360" w:lineRule="auto"/>
        <w:rPr>
          <w:rFonts w:asciiTheme="minorEastAsia" w:hAnsiTheme="minorEastAsia" w:eastAsiaTheme="minorEastAsia" w:cstheme="minorEastAsia"/>
          <w:color w:val="auto"/>
          <w:szCs w:val="24"/>
          <w:highlight w:val="none"/>
        </w:rPr>
      </w:pPr>
    </w:p>
    <w:p w14:paraId="227F957D">
      <w:pPr>
        <w:rPr>
          <w:color w:val="auto"/>
          <w:highlight w:val="none"/>
        </w:rPr>
      </w:pPr>
    </w:p>
    <w:p w14:paraId="10012BEB">
      <w:pPr>
        <w:ind w:right="120"/>
        <w:jc w:val="right"/>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签订日期: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年</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月</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日</w:t>
      </w:r>
    </w:p>
    <w:p w14:paraId="0FCA1766">
      <w:pPr>
        <w:rPr>
          <w:rFonts w:hAnsi="宋体" w:cs="宋体"/>
          <w:color w:val="auto"/>
          <w:sz w:val="24"/>
          <w:szCs w:val="32"/>
          <w:highlight w:val="none"/>
        </w:rPr>
      </w:pPr>
      <w:r>
        <w:rPr>
          <w:rFonts w:hAnsi="宋体" w:cs="宋体"/>
          <w:color w:val="auto"/>
          <w:sz w:val="24"/>
          <w:szCs w:val="32"/>
          <w:highlight w:val="none"/>
        </w:rPr>
        <w:br w:type="page"/>
      </w:r>
    </w:p>
    <w:p w14:paraId="1BC85ABB">
      <w:pPr>
        <w:outlineLvl w:val="0"/>
        <w:rPr>
          <w:rStyle w:val="56"/>
          <w:rFonts w:hint="eastAsia" w:ascii="宋体" w:hAnsi="宋体" w:eastAsia="宋体" w:cs="宋体"/>
          <w:color w:val="auto"/>
          <w:sz w:val="24"/>
          <w:szCs w:val="24"/>
          <w:highlight w:val="none"/>
          <w:lang w:val="en-US" w:eastAsia="zh-CN"/>
        </w:rPr>
      </w:pPr>
      <w:r>
        <w:rPr>
          <w:rStyle w:val="56"/>
          <w:rFonts w:hint="eastAsia" w:ascii="宋体" w:hAnsi="宋体" w:eastAsia="宋体" w:cs="宋体"/>
          <w:color w:val="auto"/>
          <w:sz w:val="24"/>
          <w:szCs w:val="24"/>
          <w:highlight w:val="none"/>
          <w:lang w:val="en-US" w:eastAsia="zh-CN"/>
        </w:rPr>
        <w:t>额外附件（无需编入响应文件）</w:t>
      </w:r>
    </w:p>
    <w:p w14:paraId="11BF8D6E">
      <w:pPr>
        <w:spacing w:line="360" w:lineRule="auto"/>
        <w:jc w:val="center"/>
        <w:rPr>
          <w:rFonts w:hint="eastAsia" w:ascii="宋体" w:hAnsi="宋体" w:eastAsia="宋体" w:cs="宋体"/>
          <w:b/>
          <w:bCs w:val="0"/>
          <w:color w:val="auto"/>
          <w:sz w:val="24"/>
          <w:szCs w:val="24"/>
          <w:highlight w:val="none"/>
        </w:rPr>
      </w:pPr>
    </w:p>
    <w:p w14:paraId="7904B0BB">
      <w:pPr>
        <w:spacing w:line="360" w:lineRule="auto"/>
        <w:jc w:val="center"/>
        <w:rPr>
          <w:rFonts w:hint="eastAsia" w:ascii="宋体" w:hAnsi="宋体" w:eastAsia="宋体" w:cs="宋体"/>
          <w:b/>
          <w:bCs w:val="0"/>
          <w:color w:val="auto"/>
          <w:sz w:val="24"/>
          <w:szCs w:val="24"/>
          <w:highlight w:val="none"/>
        </w:rPr>
      </w:pPr>
      <w:r>
        <w:rPr>
          <w:rFonts w:hint="eastAsia" w:ascii="宋体" w:hAnsi="宋体" w:cs="宋体"/>
          <w:b/>
          <w:bCs w:val="0"/>
          <w:color w:val="auto"/>
          <w:sz w:val="24"/>
          <w:szCs w:val="24"/>
          <w:highlight w:val="none"/>
          <w:lang w:val="en-US" w:eastAsia="zh-CN"/>
        </w:rPr>
        <w:t>六安市叶集区人民医院(六安市第六人民医院)全国严重创伤救治信息交互联动系统服务采购项目第</w:t>
      </w:r>
      <w:r>
        <w:rPr>
          <w:rFonts w:hint="eastAsia" w:ascii="宋体" w:hAnsi="宋体" w:cs="宋体"/>
          <w:b/>
          <w:bCs w:val="0"/>
          <w:color w:val="auto"/>
          <w:sz w:val="24"/>
          <w:szCs w:val="24"/>
          <w:highlight w:val="none"/>
          <w:u w:val="single"/>
          <w:lang w:val="en-US" w:eastAsia="zh-CN"/>
        </w:rPr>
        <w:t xml:space="preserve">     </w:t>
      </w:r>
      <w:r>
        <w:rPr>
          <w:rFonts w:hint="eastAsia" w:ascii="宋体" w:hAnsi="宋体" w:eastAsia="宋体" w:cs="宋体"/>
          <w:b/>
          <w:bCs w:val="0"/>
          <w:color w:val="auto"/>
          <w:sz w:val="24"/>
          <w:szCs w:val="24"/>
          <w:highlight w:val="none"/>
          <w:lang w:val="en-US" w:eastAsia="zh-CN"/>
        </w:rPr>
        <w:t>轮</w:t>
      </w:r>
      <w:r>
        <w:rPr>
          <w:rFonts w:hint="eastAsia" w:ascii="宋体" w:hAnsi="宋体" w:eastAsia="宋体" w:cs="宋体"/>
          <w:b/>
          <w:bCs w:val="0"/>
          <w:color w:val="auto"/>
          <w:sz w:val="24"/>
          <w:szCs w:val="24"/>
          <w:highlight w:val="none"/>
        </w:rPr>
        <w:t>报价函</w:t>
      </w:r>
    </w:p>
    <w:p w14:paraId="391982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致 ：</w:t>
      </w:r>
      <w:r>
        <w:rPr>
          <w:rFonts w:hint="eastAsia" w:ascii="宋体" w:hAnsi="宋体" w:eastAsia="宋体" w:cs="宋体"/>
          <w:bCs/>
          <w:color w:val="auto"/>
          <w:sz w:val="24"/>
          <w:szCs w:val="24"/>
          <w:highlight w:val="none"/>
          <w:u w:val="single"/>
        </w:rPr>
        <w:t>( 采购人</w:t>
      </w:r>
      <w:r>
        <w:rPr>
          <w:rFonts w:hint="eastAsia" w:ascii="宋体" w:hAnsi="宋体" w:eastAsia="宋体" w:cs="宋体"/>
          <w:bCs/>
          <w:color w:val="auto"/>
          <w:sz w:val="24"/>
          <w:szCs w:val="24"/>
          <w:highlight w:val="none"/>
          <w:u w:val="single"/>
          <w:lang w:val="en-US" w:eastAsia="zh-CN"/>
        </w:rPr>
        <w:t>名称</w:t>
      </w:r>
      <w:r>
        <w:rPr>
          <w:rFonts w:hint="eastAsia" w:ascii="宋体" w:hAnsi="宋体" w:eastAsia="宋体" w:cs="宋体"/>
          <w:bCs/>
          <w:color w:val="auto"/>
          <w:sz w:val="24"/>
          <w:szCs w:val="24"/>
          <w:highlight w:val="none"/>
          <w:u w:val="single"/>
        </w:rPr>
        <w:t xml:space="preserve"> )</w:t>
      </w:r>
    </w:p>
    <w:p w14:paraId="46513D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1、我方愿在前一轮</w:t>
      </w:r>
      <w:r>
        <w:rPr>
          <w:rFonts w:hint="eastAsia" w:ascii="宋体" w:hAnsi="宋体" w:cs="宋体"/>
          <w:bCs/>
          <w:color w:val="auto"/>
          <w:sz w:val="24"/>
          <w:szCs w:val="24"/>
          <w:highlight w:val="none"/>
          <w:lang w:val="en-US" w:eastAsia="zh-CN"/>
        </w:rPr>
        <w:t>响应</w:t>
      </w:r>
      <w:r>
        <w:rPr>
          <w:rFonts w:hint="eastAsia" w:ascii="宋体" w:hAnsi="宋体" w:eastAsia="宋体" w:cs="宋体"/>
          <w:bCs/>
          <w:color w:val="auto"/>
          <w:sz w:val="24"/>
          <w:szCs w:val="24"/>
          <w:highlight w:val="none"/>
        </w:rPr>
        <w:t>（响应文件）报价的基础上再次让利，让利后响应报价为人民币</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元。如果我方有幸成为成交单位，报价费用为所委托项目范围内全部工作，该费用不再调整。</w:t>
      </w:r>
    </w:p>
    <w:p w14:paraId="2D20E0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2、其他部分与响应性文件内容一致。</w:t>
      </w:r>
    </w:p>
    <w:p w14:paraId="4A442B2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p>
    <w:p w14:paraId="195B10E9">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供应商：（盖</w:t>
      </w:r>
      <w:r>
        <w:rPr>
          <w:rFonts w:hint="eastAsia" w:ascii="宋体" w:hAnsi="宋体" w:eastAsia="宋体" w:cs="宋体"/>
          <w:bCs/>
          <w:color w:val="auto"/>
          <w:sz w:val="24"/>
          <w:szCs w:val="24"/>
          <w:highlight w:val="none"/>
          <w:lang w:val="en-US" w:eastAsia="zh-CN"/>
        </w:rPr>
        <w:t>公</w:t>
      </w:r>
      <w:r>
        <w:rPr>
          <w:rFonts w:hint="eastAsia" w:ascii="宋体" w:hAnsi="宋体" w:eastAsia="宋体" w:cs="宋体"/>
          <w:bCs/>
          <w:color w:val="auto"/>
          <w:sz w:val="24"/>
          <w:szCs w:val="24"/>
          <w:highlight w:val="none"/>
        </w:rPr>
        <w:t>章）</w:t>
      </w:r>
    </w:p>
    <w:p w14:paraId="1937A76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法定代表人（或委托代理人）：（签字或盖章）       </w:t>
      </w:r>
    </w:p>
    <w:p w14:paraId="16DEF123">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日期： 年  月  日 </w:t>
      </w:r>
    </w:p>
    <w:p w14:paraId="5CED3D01">
      <w:pPr>
        <w:spacing w:line="360" w:lineRule="auto"/>
        <w:jc w:val="center"/>
        <w:rPr>
          <w:rFonts w:hint="eastAsia" w:ascii="宋体" w:hAnsi="宋体" w:eastAsia="宋体" w:cs="宋体"/>
          <w:bCs/>
          <w:color w:val="auto"/>
          <w:sz w:val="24"/>
          <w:szCs w:val="24"/>
          <w:highlight w:val="none"/>
        </w:rPr>
      </w:pPr>
    </w:p>
    <w:p w14:paraId="631F7E2B">
      <w:pPr>
        <w:spacing w:line="360" w:lineRule="auto"/>
        <w:jc w:val="center"/>
        <w:rPr>
          <w:rFonts w:hint="eastAsia" w:ascii="宋体" w:hAnsi="宋体" w:eastAsia="宋体" w:cs="宋体"/>
          <w:bCs/>
          <w:color w:val="auto"/>
          <w:sz w:val="24"/>
          <w:szCs w:val="24"/>
          <w:highlight w:val="none"/>
        </w:rPr>
      </w:pPr>
    </w:p>
    <w:p w14:paraId="18034301">
      <w:pPr>
        <w:spacing w:line="360" w:lineRule="auto"/>
        <w:jc w:val="both"/>
        <w:rPr>
          <w:rFonts w:hint="eastAsia" w:ascii="宋体" w:hAnsi="宋体" w:eastAsia="宋体" w:cs="宋体"/>
          <w:bCs/>
          <w:color w:val="auto"/>
          <w:sz w:val="24"/>
          <w:szCs w:val="24"/>
          <w:highlight w:val="none"/>
        </w:rPr>
      </w:pPr>
    </w:p>
    <w:p w14:paraId="3784302C">
      <w:pPr>
        <w:spacing w:line="36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注：</w:t>
      </w:r>
    </w:p>
    <w:p w14:paraId="6AB76A89">
      <w:pPr>
        <w:spacing w:line="36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最终报价单位为元，最多保留两位小数。</w:t>
      </w:r>
    </w:p>
    <w:p w14:paraId="5D4EE873">
      <w:pPr>
        <w:spacing w:line="360" w:lineRule="auto"/>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）各供应商单独备足空白“报价函”并加盖单位公章及签字，用于</w:t>
      </w:r>
      <w:r>
        <w:rPr>
          <w:rFonts w:hint="eastAsia" w:ascii="宋体" w:hAnsi="宋体" w:cs="宋体"/>
          <w:b/>
          <w:bCs w:val="0"/>
          <w:color w:val="auto"/>
          <w:sz w:val="24"/>
          <w:szCs w:val="24"/>
          <w:highlight w:val="none"/>
          <w:lang w:val="en-US" w:eastAsia="zh-CN"/>
        </w:rPr>
        <w:t>多</w:t>
      </w:r>
      <w:r>
        <w:rPr>
          <w:rFonts w:hint="eastAsia" w:ascii="宋体" w:hAnsi="宋体" w:eastAsia="宋体" w:cs="宋体"/>
          <w:b/>
          <w:bCs w:val="0"/>
          <w:color w:val="auto"/>
          <w:sz w:val="24"/>
          <w:szCs w:val="24"/>
          <w:highlight w:val="none"/>
          <w:lang w:val="en-US" w:eastAsia="zh-CN"/>
        </w:rPr>
        <w:t>次报价时填写。</w:t>
      </w:r>
    </w:p>
    <w:p w14:paraId="0F0BB8B6">
      <w:pPr>
        <w:pStyle w:val="15"/>
        <w:rPr>
          <w:color w:val="auto"/>
          <w:highlight w:val="none"/>
        </w:rPr>
      </w:pPr>
    </w:p>
    <w:sectPr>
      <w:headerReference r:id="rId5" w:type="default"/>
      <w:footerReference r:id="rId6" w:type="default"/>
      <w:footerReference r:id="rId7" w:type="even"/>
      <w:pgSz w:w="11906" w:h="16838"/>
      <w:pgMar w:top="1440" w:right="1800" w:bottom="1440" w:left="1800" w:header="1134"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BE15017-2D45-4F29-824D-24B128BC18D9}"/>
  </w:font>
  <w:font w:name="黑体">
    <w:panose1 w:val="02010609060101010101"/>
    <w:charset w:val="86"/>
    <w:family w:val="auto"/>
    <w:pitch w:val="default"/>
    <w:sig w:usb0="800002BF" w:usb1="38CF7CFA" w:usb2="00000016" w:usb3="00000000" w:csb0="00040001" w:csb1="00000000"/>
    <w:embedRegular r:id="rId2" w:fontKey="{2AA96052-1C24-4D39-BC19-E551618430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25DFB28D-A18C-46AA-BB66-19C11AFDFECF}"/>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DengXian ( 正文 )">
    <w:altName w:val="Times New Roman"/>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embedRegular r:id="rId4" w:fontKey="{68835C97-657C-49D4-B47E-E788A8EF8041}"/>
  </w:font>
  <w:font w:name="仿宋">
    <w:panose1 w:val="02010609060101010101"/>
    <w:charset w:val="86"/>
    <w:family w:val="auto"/>
    <w:pitch w:val="default"/>
    <w:sig w:usb0="800002BF" w:usb1="38CF7CFA" w:usb2="00000016" w:usb3="00000000" w:csb0="00040001" w:csb1="00000000"/>
    <w:embedRegular r:id="rId5" w:fontKey="{CB486D3B-65EB-4942-9FC8-C930686B5001}"/>
  </w:font>
  <w:font w:name="Segoe UI">
    <w:panose1 w:val="020B0502040204020203"/>
    <w:charset w:val="00"/>
    <w:family w:val="auto"/>
    <w:pitch w:val="default"/>
    <w:sig w:usb0="E4002EFF" w:usb1="C000E47F" w:usb2="00000009" w:usb3="00000000" w:csb0="200001FF" w:csb1="00000000"/>
    <w:embedRegular r:id="rId6" w:fontKey="{A7F10D51-CD43-4090-9BF9-DC6FBC5CD0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C54C6">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E586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2E586A">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08197A1">
    <w:pPr>
      <w:spacing w:line="220" w:lineRule="auto"/>
      <w:ind w:left="3323"/>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4FC19">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79C98">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D79C98">
                    <w:pPr>
                      <w:pStyle w:val="8"/>
                    </w:pPr>
                    <w:r>
                      <w:fldChar w:fldCharType="begin"/>
                    </w:r>
                    <w:r>
                      <w:instrText xml:space="preserve"> PAGE  \* MERGEFORMAT </w:instrText>
                    </w:r>
                    <w:r>
                      <w:fldChar w:fldCharType="separate"/>
                    </w:r>
                    <w:r>
                      <w:t>3</w:t>
                    </w:r>
                    <w:r>
                      <w:fldChar w:fldCharType="end"/>
                    </w:r>
                  </w:p>
                </w:txbxContent>
              </v:textbox>
            </v:shape>
          </w:pict>
        </mc:Fallback>
      </mc:AlternateContent>
    </w:r>
  </w:p>
  <w:p w14:paraId="54E65E8C">
    <w:pPr>
      <w:spacing w:line="220" w:lineRule="auto"/>
      <w:ind w:left="3323"/>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F7D4E">
    <w:pPr>
      <w:pStyle w:val="8"/>
      <w:pBdr>
        <w:top w:val="single" w:color="auto" w:sz="4" w:space="1"/>
      </w:pBdr>
      <w:ind w:right="360"/>
      <w:rPr>
        <w:sz w:val="24"/>
        <w:szCs w:val="24"/>
      </w:rPr>
    </w:pPr>
    <w:r>
      <w:rPr>
        <w:sz w:val="24"/>
        <w:lang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1BB3B4">
                          <w:pPr>
                            <w:pStyle w:val="8"/>
                            <w:rPr>
                              <w:rStyle w:val="20"/>
                              <w:i/>
                              <w:sz w:val="21"/>
                              <w:szCs w:val="21"/>
                            </w:rPr>
                          </w:pPr>
                          <w:r>
                            <w:rPr>
                              <w:rStyle w:val="20"/>
                              <w:rFonts w:hint="eastAsia"/>
                              <w:i/>
                              <w:sz w:val="21"/>
                              <w:szCs w:val="21"/>
                            </w:rPr>
                            <w:t>-</w:t>
                          </w:r>
                          <w:r>
                            <w:rPr>
                              <w:rFonts w:ascii="Arial" w:hAnsi="Arial" w:cs="Arial"/>
                              <w:i/>
                              <w:sz w:val="21"/>
                              <w:szCs w:val="21"/>
                            </w:rPr>
                            <w:fldChar w:fldCharType="begin"/>
                          </w:r>
                          <w:r>
                            <w:rPr>
                              <w:rStyle w:val="20"/>
                              <w:rFonts w:ascii="Arial" w:hAnsi="Arial" w:cs="Arial"/>
                              <w:i/>
                              <w:sz w:val="21"/>
                              <w:szCs w:val="21"/>
                            </w:rPr>
                            <w:instrText xml:space="preserve">PAGE  </w:instrText>
                          </w:r>
                          <w:r>
                            <w:rPr>
                              <w:rFonts w:ascii="Arial" w:hAnsi="Arial" w:cs="Arial"/>
                              <w:i/>
                              <w:sz w:val="21"/>
                              <w:szCs w:val="21"/>
                            </w:rPr>
                            <w:fldChar w:fldCharType="separate"/>
                          </w:r>
                          <w:r>
                            <w:rPr>
                              <w:rStyle w:val="20"/>
                              <w:rFonts w:ascii="Arial" w:hAnsi="Arial" w:cs="Arial"/>
                              <w:i/>
                              <w:sz w:val="21"/>
                              <w:szCs w:val="21"/>
                            </w:rPr>
                            <w:t>39</w:t>
                          </w:r>
                          <w:r>
                            <w:rPr>
                              <w:rFonts w:ascii="Arial" w:hAnsi="Arial" w:cs="Arial"/>
                              <w:i/>
                              <w:sz w:val="21"/>
                              <w:szCs w:val="21"/>
                            </w:rPr>
                            <w:fldChar w:fldCharType="end"/>
                          </w:r>
                          <w:r>
                            <w:rPr>
                              <w:rStyle w:val="20"/>
                              <w:rFonts w:hint="eastAsia"/>
                              <w:i/>
                              <w:sz w:val="21"/>
                              <w:szCs w:val="21"/>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51BB3B4">
                    <w:pPr>
                      <w:pStyle w:val="8"/>
                      <w:rPr>
                        <w:rStyle w:val="20"/>
                        <w:i/>
                        <w:sz w:val="21"/>
                        <w:szCs w:val="21"/>
                      </w:rPr>
                    </w:pPr>
                    <w:r>
                      <w:rPr>
                        <w:rStyle w:val="20"/>
                        <w:rFonts w:hint="eastAsia"/>
                        <w:i/>
                        <w:sz w:val="21"/>
                        <w:szCs w:val="21"/>
                      </w:rPr>
                      <w:t>-</w:t>
                    </w:r>
                    <w:r>
                      <w:rPr>
                        <w:rFonts w:ascii="Arial" w:hAnsi="Arial" w:cs="Arial"/>
                        <w:i/>
                        <w:sz w:val="21"/>
                        <w:szCs w:val="21"/>
                      </w:rPr>
                      <w:fldChar w:fldCharType="begin"/>
                    </w:r>
                    <w:r>
                      <w:rPr>
                        <w:rStyle w:val="20"/>
                        <w:rFonts w:ascii="Arial" w:hAnsi="Arial" w:cs="Arial"/>
                        <w:i/>
                        <w:sz w:val="21"/>
                        <w:szCs w:val="21"/>
                      </w:rPr>
                      <w:instrText xml:space="preserve">PAGE  </w:instrText>
                    </w:r>
                    <w:r>
                      <w:rPr>
                        <w:rFonts w:ascii="Arial" w:hAnsi="Arial" w:cs="Arial"/>
                        <w:i/>
                        <w:sz w:val="21"/>
                        <w:szCs w:val="21"/>
                      </w:rPr>
                      <w:fldChar w:fldCharType="separate"/>
                    </w:r>
                    <w:r>
                      <w:rPr>
                        <w:rStyle w:val="20"/>
                        <w:rFonts w:ascii="Arial" w:hAnsi="Arial" w:cs="Arial"/>
                        <w:i/>
                        <w:sz w:val="21"/>
                        <w:szCs w:val="21"/>
                      </w:rPr>
                      <w:t>39</w:t>
                    </w:r>
                    <w:r>
                      <w:rPr>
                        <w:rFonts w:ascii="Arial" w:hAnsi="Arial" w:cs="Arial"/>
                        <w:i/>
                        <w:sz w:val="21"/>
                        <w:szCs w:val="21"/>
                      </w:rPr>
                      <w:fldChar w:fldCharType="end"/>
                    </w:r>
                    <w:r>
                      <w:rPr>
                        <w:rStyle w:val="20"/>
                        <w:rFonts w:hint="eastAsia"/>
                        <w:i/>
                        <w:sz w:val="21"/>
                        <w:szCs w:val="21"/>
                      </w:rPr>
                      <w:t>-</w:t>
                    </w:r>
                  </w:p>
                </w:txbxContent>
              </v:textbox>
            </v:shape>
          </w:pict>
        </mc:Fallback>
      </mc:AlternateContent>
    </w:r>
  </w:p>
  <w:p w14:paraId="0C8DF09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C626F">
    <w:pPr>
      <w:pStyle w:val="8"/>
      <w:framePr w:wrap="around" w:vAnchor="text" w:hAnchor="margin" w:xAlign="right" w:y="1"/>
      <w:rPr>
        <w:rStyle w:val="20"/>
      </w:rPr>
    </w:pPr>
    <w:r>
      <w:fldChar w:fldCharType="begin"/>
    </w:r>
    <w:r>
      <w:rPr>
        <w:rStyle w:val="20"/>
      </w:rPr>
      <w:instrText xml:space="preserve">PAGE  </w:instrText>
    </w:r>
    <w:r>
      <w:fldChar w:fldCharType="end"/>
    </w:r>
  </w:p>
  <w:p w14:paraId="765583CD">
    <w:pPr>
      <w:pStyle w:val="8"/>
      <w:ind w:right="360"/>
    </w:pPr>
  </w:p>
  <w:p w14:paraId="7638102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45E0D">
    <w:pPr>
      <w:pStyle w:val="9"/>
      <w:pBdr>
        <w:bottom w:val="single"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1AAF7"/>
    <w:multiLevelType w:val="singleLevel"/>
    <w:tmpl w:val="C5B1AAF7"/>
    <w:lvl w:ilvl="0" w:tentative="0">
      <w:start w:val="1"/>
      <w:numFmt w:val="decimal"/>
      <w:suff w:val="nothing"/>
      <w:lvlText w:val="%1、"/>
      <w:lvlJc w:val="left"/>
    </w:lvl>
  </w:abstractNum>
  <w:abstractNum w:abstractNumId="1">
    <w:nsid w:val="57E98523"/>
    <w:multiLevelType w:val="singleLevel"/>
    <w:tmpl w:val="57E98523"/>
    <w:lvl w:ilvl="0" w:tentative="0">
      <w:start w:val="8"/>
      <w:numFmt w:val="chineseCounting"/>
      <w:suff w:val="nothing"/>
      <w:lvlText w:val="%1、"/>
      <w:lvlJc w:val="left"/>
      <w:rPr>
        <w:rFonts w:hint="eastAsia"/>
      </w:rPr>
    </w:lvl>
  </w:abstractNum>
  <w:abstractNum w:abstractNumId="2">
    <w:nsid w:val="5BAE1402"/>
    <w:multiLevelType w:val="singleLevel"/>
    <w:tmpl w:val="5BAE1402"/>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YjEzMzcxZDFhZGY0NmM5MDk4M2EzNzI4YTQwNjQifQ=="/>
  </w:docVars>
  <w:rsids>
    <w:rsidRoot w:val="6EC727D8"/>
    <w:rsid w:val="000008DC"/>
    <w:rsid w:val="00074755"/>
    <w:rsid w:val="000D5B86"/>
    <w:rsid w:val="000E1F6C"/>
    <w:rsid w:val="000F7491"/>
    <w:rsid w:val="00107F7A"/>
    <w:rsid w:val="00124B60"/>
    <w:rsid w:val="001377B4"/>
    <w:rsid w:val="001531BC"/>
    <w:rsid w:val="001C7F21"/>
    <w:rsid w:val="001D0E19"/>
    <w:rsid w:val="00241BCE"/>
    <w:rsid w:val="002827D9"/>
    <w:rsid w:val="00310043"/>
    <w:rsid w:val="00325DD1"/>
    <w:rsid w:val="00330497"/>
    <w:rsid w:val="00337BD4"/>
    <w:rsid w:val="00360082"/>
    <w:rsid w:val="00370FA3"/>
    <w:rsid w:val="003D6EB2"/>
    <w:rsid w:val="003E7146"/>
    <w:rsid w:val="00441793"/>
    <w:rsid w:val="004C3D64"/>
    <w:rsid w:val="00502F86"/>
    <w:rsid w:val="00554AED"/>
    <w:rsid w:val="00573D8E"/>
    <w:rsid w:val="005B7F2A"/>
    <w:rsid w:val="005C36B3"/>
    <w:rsid w:val="005E629F"/>
    <w:rsid w:val="005F257E"/>
    <w:rsid w:val="005F31BF"/>
    <w:rsid w:val="0062612B"/>
    <w:rsid w:val="00643FFD"/>
    <w:rsid w:val="00664226"/>
    <w:rsid w:val="00664B49"/>
    <w:rsid w:val="006A1B74"/>
    <w:rsid w:val="00706B07"/>
    <w:rsid w:val="00737B01"/>
    <w:rsid w:val="00756192"/>
    <w:rsid w:val="007654C4"/>
    <w:rsid w:val="007679EB"/>
    <w:rsid w:val="00771506"/>
    <w:rsid w:val="007925A2"/>
    <w:rsid w:val="0079330D"/>
    <w:rsid w:val="007967C9"/>
    <w:rsid w:val="007B7190"/>
    <w:rsid w:val="007E4AEE"/>
    <w:rsid w:val="007F5FDC"/>
    <w:rsid w:val="00801E68"/>
    <w:rsid w:val="008877ED"/>
    <w:rsid w:val="008B34A7"/>
    <w:rsid w:val="008E06AA"/>
    <w:rsid w:val="008E4B3E"/>
    <w:rsid w:val="008F5ACA"/>
    <w:rsid w:val="00910B63"/>
    <w:rsid w:val="00936ACC"/>
    <w:rsid w:val="0096212F"/>
    <w:rsid w:val="009C2971"/>
    <w:rsid w:val="009D484D"/>
    <w:rsid w:val="00A0731A"/>
    <w:rsid w:val="00A53F70"/>
    <w:rsid w:val="00A72BE0"/>
    <w:rsid w:val="00AB14BC"/>
    <w:rsid w:val="00AC096B"/>
    <w:rsid w:val="00AE137C"/>
    <w:rsid w:val="00AE30B0"/>
    <w:rsid w:val="00B0397C"/>
    <w:rsid w:val="00B11A1A"/>
    <w:rsid w:val="00B403CD"/>
    <w:rsid w:val="00B406C6"/>
    <w:rsid w:val="00B519D7"/>
    <w:rsid w:val="00B60525"/>
    <w:rsid w:val="00B75680"/>
    <w:rsid w:val="00B76409"/>
    <w:rsid w:val="00B91F55"/>
    <w:rsid w:val="00B92E69"/>
    <w:rsid w:val="00B93C87"/>
    <w:rsid w:val="00BA0C8C"/>
    <w:rsid w:val="00BB413B"/>
    <w:rsid w:val="00BC12F0"/>
    <w:rsid w:val="00BC3B7F"/>
    <w:rsid w:val="00BD2778"/>
    <w:rsid w:val="00C50B26"/>
    <w:rsid w:val="00C73E3E"/>
    <w:rsid w:val="00C75E31"/>
    <w:rsid w:val="00C84172"/>
    <w:rsid w:val="00C905B8"/>
    <w:rsid w:val="00D009EA"/>
    <w:rsid w:val="00D1645E"/>
    <w:rsid w:val="00D40D69"/>
    <w:rsid w:val="00D45394"/>
    <w:rsid w:val="00D62FCB"/>
    <w:rsid w:val="00D64BD5"/>
    <w:rsid w:val="00D76247"/>
    <w:rsid w:val="00D90AFE"/>
    <w:rsid w:val="00D96E63"/>
    <w:rsid w:val="00DC661F"/>
    <w:rsid w:val="00DC6BD9"/>
    <w:rsid w:val="00DE4501"/>
    <w:rsid w:val="00E1437E"/>
    <w:rsid w:val="00E25D2A"/>
    <w:rsid w:val="00E37283"/>
    <w:rsid w:val="00E43CD1"/>
    <w:rsid w:val="00E6284A"/>
    <w:rsid w:val="00E815D1"/>
    <w:rsid w:val="00EC71D2"/>
    <w:rsid w:val="00ED4AA4"/>
    <w:rsid w:val="00EF7950"/>
    <w:rsid w:val="00F07E7E"/>
    <w:rsid w:val="00F24888"/>
    <w:rsid w:val="00F44726"/>
    <w:rsid w:val="00FA7A82"/>
    <w:rsid w:val="00FB3DFE"/>
    <w:rsid w:val="00FE651F"/>
    <w:rsid w:val="0119677B"/>
    <w:rsid w:val="01284C10"/>
    <w:rsid w:val="012B64AF"/>
    <w:rsid w:val="012F2443"/>
    <w:rsid w:val="016C0FA1"/>
    <w:rsid w:val="016C134C"/>
    <w:rsid w:val="016C71F3"/>
    <w:rsid w:val="019948FF"/>
    <w:rsid w:val="019B3634"/>
    <w:rsid w:val="01A52705"/>
    <w:rsid w:val="01A73D87"/>
    <w:rsid w:val="01A7647D"/>
    <w:rsid w:val="01B110AA"/>
    <w:rsid w:val="01E054EB"/>
    <w:rsid w:val="01E62509"/>
    <w:rsid w:val="01F36FCC"/>
    <w:rsid w:val="020044B1"/>
    <w:rsid w:val="02104022"/>
    <w:rsid w:val="022C6982"/>
    <w:rsid w:val="02313F99"/>
    <w:rsid w:val="02702D13"/>
    <w:rsid w:val="027345B1"/>
    <w:rsid w:val="027352AD"/>
    <w:rsid w:val="02785724"/>
    <w:rsid w:val="028265A2"/>
    <w:rsid w:val="0288500D"/>
    <w:rsid w:val="0297204E"/>
    <w:rsid w:val="029F74CA"/>
    <w:rsid w:val="02A209F3"/>
    <w:rsid w:val="02A23F5D"/>
    <w:rsid w:val="02AB3D4B"/>
    <w:rsid w:val="02B04EBD"/>
    <w:rsid w:val="02BA5D3C"/>
    <w:rsid w:val="02DF7AA4"/>
    <w:rsid w:val="02E86730"/>
    <w:rsid w:val="02E903CF"/>
    <w:rsid w:val="02F72AEC"/>
    <w:rsid w:val="031B2C7F"/>
    <w:rsid w:val="03357A55"/>
    <w:rsid w:val="03440AAD"/>
    <w:rsid w:val="03451AAA"/>
    <w:rsid w:val="03522419"/>
    <w:rsid w:val="035C474C"/>
    <w:rsid w:val="035E4919"/>
    <w:rsid w:val="0365214C"/>
    <w:rsid w:val="036A1510"/>
    <w:rsid w:val="036F4D79"/>
    <w:rsid w:val="03942A31"/>
    <w:rsid w:val="03975C7F"/>
    <w:rsid w:val="03AB7B6C"/>
    <w:rsid w:val="03AF33C7"/>
    <w:rsid w:val="03B14776"/>
    <w:rsid w:val="03B20153"/>
    <w:rsid w:val="03CF3A69"/>
    <w:rsid w:val="03D270B5"/>
    <w:rsid w:val="03E5328D"/>
    <w:rsid w:val="040A4AA1"/>
    <w:rsid w:val="040B2A74"/>
    <w:rsid w:val="04123CC2"/>
    <w:rsid w:val="041328BF"/>
    <w:rsid w:val="043F474B"/>
    <w:rsid w:val="044955CA"/>
    <w:rsid w:val="045F6B9B"/>
    <w:rsid w:val="0461636B"/>
    <w:rsid w:val="047B14FB"/>
    <w:rsid w:val="04A4420B"/>
    <w:rsid w:val="04A46CA4"/>
    <w:rsid w:val="04A96068"/>
    <w:rsid w:val="04FB16CE"/>
    <w:rsid w:val="0564343C"/>
    <w:rsid w:val="057E5747"/>
    <w:rsid w:val="0587339F"/>
    <w:rsid w:val="058D4B01"/>
    <w:rsid w:val="05942874"/>
    <w:rsid w:val="05CF2FDE"/>
    <w:rsid w:val="05E25CD6"/>
    <w:rsid w:val="05EA6938"/>
    <w:rsid w:val="05EF21A1"/>
    <w:rsid w:val="05F11A75"/>
    <w:rsid w:val="06222576"/>
    <w:rsid w:val="06622973"/>
    <w:rsid w:val="067D77AC"/>
    <w:rsid w:val="06952D48"/>
    <w:rsid w:val="06B342AD"/>
    <w:rsid w:val="06D25D4A"/>
    <w:rsid w:val="06D51397"/>
    <w:rsid w:val="06E15F8D"/>
    <w:rsid w:val="070F28B2"/>
    <w:rsid w:val="072A7934"/>
    <w:rsid w:val="07477E74"/>
    <w:rsid w:val="075954A1"/>
    <w:rsid w:val="075E138C"/>
    <w:rsid w:val="07937C68"/>
    <w:rsid w:val="07944DAE"/>
    <w:rsid w:val="07A20778"/>
    <w:rsid w:val="07A80859"/>
    <w:rsid w:val="07B733C4"/>
    <w:rsid w:val="07C338E5"/>
    <w:rsid w:val="07C5765D"/>
    <w:rsid w:val="07E06245"/>
    <w:rsid w:val="07ED349A"/>
    <w:rsid w:val="07FD6DF7"/>
    <w:rsid w:val="08055CAB"/>
    <w:rsid w:val="08092B10"/>
    <w:rsid w:val="080C528C"/>
    <w:rsid w:val="083B255B"/>
    <w:rsid w:val="087E15BA"/>
    <w:rsid w:val="0888779C"/>
    <w:rsid w:val="088968DD"/>
    <w:rsid w:val="08A40A20"/>
    <w:rsid w:val="08A47272"/>
    <w:rsid w:val="08CB57A5"/>
    <w:rsid w:val="08CE2E53"/>
    <w:rsid w:val="08D12A6B"/>
    <w:rsid w:val="08D538D0"/>
    <w:rsid w:val="08F024B8"/>
    <w:rsid w:val="08F655F4"/>
    <w:rsid w:val="09122521"/>
    <w:rsid w:val="091A3FB8"/>
    <w:rsid w:val="094822F4"/>
    <w:rsid w:val="09541963"/>
    <w:rsid w:val="095A6680"/>
    <w:rsid w:val="09732A37"/>
    <w:rsid w:val="097C116F"/>
    <w:rsid w:val="09971291"/>
    <w:rsid w:val="09A21F4E"/>
    <w:rsid w:val="09A45050"/>
    <w:rsid w:val="09AC2C7C"/>
    <w:rsid w:val="09D15427"/>
    <w:rsid w:val="09D405A0"/>
    <w:rsid w:val="09DE67B4"/>
    <w:rsid w:val="09F227D6"/>
    <w:rsid w:val="0A075837"/>
    <w:rsid w:val="0A08006A"/>
    <w:rsid w:val="0A210AF1"/>
    <w:rsid w:val="0A280703"/>
    <w:rsid w:val="0A410AF1"/>
    <w:rsid w:val="0A4834A5"/>
    <w:rsid w:val="0A495578"/>
    <w:rsid w:val="0A4C5E14"/>
    <w:rsid w:val="0A5B0423"/>
    <w:rsid w:val="0A5C3C67"/>
    <w:rsid w:val="0A5D1DCF"/>
    <w:rsid w:val="0A726EFC"/>
    <w:rsid w:val="0A7B4003"/>
    <w:rsid w:val="0A9607F5"/>
    <w:rsid w:val="0AAB0D8C"/>
    <w:rsid w:val="0AB1595C"/>
    <w:rsid w:val="0AC413A1"/>
    <w:rsid w:val="0AD55E09"/>
    <w:rsid w:val="0AEB1631"/>
    <w:rsid w:val="0AFA5870"/>
    <w:rsid w:val="0B0D1F83"/>
    <w:rsid w:val="0B13248D"/>
    <w:rsid w:val="0B1C059C"/>
    <w:rsid w:val="0B27418B"/>
    <w:rsid w:val="0B316DB7"/>
    <w:rsid w:val="0B344594"/>
    <w:rsid w:val="0B402762"/>
    <w:rsid w:val="0B957346"/>
    <w:rsid w:val="0BA772D1"/>
    <w:rsid w:val="0BC47C2C"/>
    <w:rsid w:val="0BCF2F63"/>
    <w:rsid w:val="0BD32EFE"/>
    <w:rsid w:val="0BEA7692"/>
    <w:rsid w:val="0C177D5B"/>
    <w:rsid w:val="0C1C7A68"/>
    <w:rsid w:val="0C201306"/>
    <w:rsid w:val="0C3C77C2"/>
    <w:rsid w:val="0C43404D"/>
    <w:rsid w:val="0C450D6C"/>
    <w:rsid w:val="0C605BA6"/>
    <w:rsid w:val="0C656D19"/>
    <w:rsid w:val="0C831895"/>
    <w:rsid w:val="0C8F023A"/>
    <w:rsid w:val="0CA06937"/>
    <w:rsid w:val="0CA248BC"/>
    <w:rsid w:val="0CA75589"/>
    <w:rsid w:val="0CAD246E"/>
    <w:rsid w:val="0CAF61E6"/>
    <w:rsid w:val="0CD0364E"/>
    <w:rsid w:val="0CD8573D"/>
    <w:rsid w:val="0CE42333"/>
    <w:rsid w:val="0CE75980"/>
    <w:rsid w:val="0CF92A3E"/>
    <w:rsid w:val="0D10137A"/>
    <w:rsid w:val="0D1843F4"/>
    <w:rsid w:val="0D240717"/>
    <w:rsid w:val="0D3A01A5"/>
    <w:rsid w:val="0D417786"/>
    <w:rsid w:val="0D4728C2"/>
    <w:rsid w:val="0D592054"/>
    <w:rsid w:val="0D614AED"/>
    <w:rsid w:val="0D851A87"/>
    <w:rsid w:val="0D896A37"/>
    <w:rsid w:val="0D925950"/>
    <w:rsid w:val="0D951880"/>
    <w:rsid w:val="0DB735A4"/>
    <w:rsid w:val="0DBA3094"/>
    <w:rsid w:val="0DC12675"/>
    <w:rsid w:val="0DCB52A1"/>
    <w:rsid w:val="0DD51251"/>
    <w:rsid w:val="0DED2C29"/>
    <w:rsid w:val="0DEE39B4"/>
    <w:rsid w:val="0E3833DA"/>
    <w:rsid w:val="0E4B725D"/>
    <w:rsid w:val="0E511C4A"/>
    <w:rsid w:val="0E572FD9"/>
    <w:rsid w:val="0EB94E27"/>
    <w:rsid w:val="0EE91E83"/>
    <w:rsid w:val="0EEF6D6E"/>
    <w:rsid w:val="0EFD148A"/>
    <w:rsid w:val="0F00663B"/>
    <w:rsid w:val="0F024CF3"/>
    <w:rsid w:val="0F0C791F"/>
    <w:rsid w:val="0F1A4EA2"/>
    <w:rsid w:val="0F2C6214"/>
    <w:rsid w:val="0F323C80"/>
    <w:rsid w:val="0F386966"/>
    <w:rsid w:val="0F4470B9"/>
    <w:rsid w:val="0F470958"/>
    <w:rsid w:val="0F515C7A"/>
    <w:rsid w:val="0F53554E"/>
    <w:rsid w:val="0F5372FC"/>
    <w:rsid w:val="0F692FC4"/>
    <w:rsid w:val="0F707EAE"/>
    <w:rsid w:val="0F827BE2"/>
    <w:rsid w:val="0F957915"/>
    <w:rsid w:val="0FAC2EB1"/>
    <w:rsid w:val="0FAD1102"/>
    <w:rsid w:val="0FB3426A"/>
    <w:rsid w:val="0FCB3337"/>
    <w:rsid w:val="10044A9B"/>
    <w:rsid w:val="1008681F"/>
    <w:rsid w:val="100F5919"/>
    <w:rsid w:val="1010343F"/>
    <w:rsid w:val="10260EB5"/>
    <w:rsid w:val="106F280D"/>
    <w:rsid w:val="107439CE"/>
    <w:rsid w:val="107E158A"/>
    <w:rsid w:val="10A03E8D"/>
    <w:rsid w:val="10C2298C"/>
    <w:rsid w:val="10D161C4"/>
    <w:rsid w:val="10DB57FB"/>
    <w:rsid w:val="10F20D97"/>
    <w:rsid w:val="10F44B0F"/>
    <w:rsid w:val="10FD7E68"/>
    <w:rsid w:val="11124F95"/>
    <w:rsid w:val="11545714"/>
    <w:rsid w:val="115B2DE0"/>
    <w:rsid w:val="115C2EBC"/>
    <w:rsid w:val="116003F7"/>
    <w:rsid w:val="11665A0D"/>
    <w:rsid w:val="1193658F"/>
    <w:rsid w:val="11A1491C"/>
    <w:rsid w:val="11A42091"/>
    <w:rsid w:val="11B5111E"/>
    <w:rsid w:val="11C40985"/>
    <w:rsid w:val="11D02E86"/>
    <w:rsid w:val="11D566EF"/>
    <w:rsid w:val="11DF756D"/>
    <w:rsid w:val="11FA6155"/>
    <w:rsid w:val="12260CF8"/>
    <w:rsid w:val="12274A70"/>
    <w:rsid w:val="124F46F3"/>
    <w:rsid w:val="12535865"/>
    <w:rsid w:val="125735A8"/>
    <w:rsid w:val="12647A72"/>
    <w:rsid w:val="12696E37"/>
    <w:rsid w:val="12751C80"/>
    <w:rsid w:val="12865C3B"/>
    <w:rsid w:val="128C7765"/>
    <w:rsid w:val="12A2123C"/>
    <w:rsid w:val="12B04A66"/>
    <w:rsid w:val="12CD5618"/>
    <w:rsid w:val="12DB2E87"/>
    <w:rsid w:val="12E110C3"/>
    <w:rsid w:val="12E666D9"/>
    <w:rsid w:val="12E84200"/>
    <w:rsid w:val="12EB6CA7"/>
    <w:rsid w:val="13023513"/>
    <w:rsid w:val="1313347E"/>
    <w:rsid w:val="131775E8"/>
    <w:rsid w:val="1334693B"/>
    <w:rsid w:val="134753CA"/>
    <w:rsid w:val="13482EF0"/>
    <w:rsid w:val="134A310C"/>
    <w:rsid w:val="13541895"/>
    <w:rsid w:val="135B124E"/>
    <w:rsid w:val="13653AA2"/>
    <w:rsid w:val="13685340"/>
    <w:rsid w:val="137B5074"/>
    <w:rsid w:val="13936861"/>
    <w:rsid w:val="139525D9"/>
    <w:rsid w:val="13C94031"/>
    <w:rsid w:val="13D83EAC"/>
    <w:rsid w:val="13E04764"/>
    <w:rsid w:val="14101C60"/>
    <w:rsid w:val="141D437D"/>
    <w:rsid w:val="141F1A80"/>
    <w:rsid w:val="142E6509"/>
    <w:rsid w:val="1433594E"/>
    <w:rsid w:val="143811B7"/>
    <w:rsid w:val="145A112D"/>
    <w:rsid w:val="14812B5E"/>
    <w:rsid w:val="148E0DD7"/>
    <w:rsid w:val="1497412F"/>
    <w:rsid w:val="14BB78A8"/>
    <w:rsid w:val="14D727D0"/>
    <w:rsid w:val="14D7452C"/>
    <w:rsid w:val="14E07884"/>
    <w:rsid w:val="14FB46BE"/>
    <w:rsid w:val="15035321"/>
    <w:rsid w:val="150D1F93"/>
    <w:rsid w:val="150F3CC6"/>
    <w:rsid w:val="1551198D"/>
    <w:rsid w:val="1565422D"/>
    <w:rsid w:val="15712BD2"/>
    <w:rsid w:val="1574621E"/>
    <w:rsid w:val="157B34A2"/>
    <w:rsid w:val="157F52EF"/>
    <w:rsid w:val="15C64088"/>
    <w:rsid w:val="15D05B4B"/>
    <w:rsid w:val="15EE4223"/>
    <w:rsid w:val="160C6457"/>
    <w:rsid w:val="161517B0"/>
    <w:rsid w:val="161A5018"/>
    <w:rsid w:val="161C0D90"/>
    <w:rsid w:val="161E0F3C"/>
    <w:rsid w:val="161E145D"/>
    <w:rsid w:val="163A2FC4"/>
    <w:rsid w:val="16436D08"/>
    <w:rsid w:val="16450281"/>
    <w:rsid w:val="164976AB"/>
    <w:rsid w:val="16573587"/>
    <w:rsid w:val="166D5BA5"/>
    <w:rsid w:val="167364D6"/>
    <w:rsid w:val="168626AD"/>
    <w:rsid w:val="16871B76"/>
    <w:rsid w:val="16923636"/>
    <w:rsid w:val="16BD4EA7"/>
    <w:rsid w:val="16BE59A3"/>
    <w:rsid w:val="16D01B7A"/>
    <w:rsid w:val="16DC7F11"/>
    <w:rsid w:val="16E16F3A"/>
    <w:rsid w:val="16E41182"/>
    <w:rsid w:val="16F45869"/>
    <w:rsid w:val="170B670F"/>
    <w:rsid w:val="17162FEC"/>
    <w:rsid w:val="172C2525"/>
    <w:rsid w:val="17377504"/>
    <w:rsid w:val="173C4B1A"/>
    <w:rsid w:val="173E0892"/>
    <w:rsid w:val="173F1128"/>
    <w:rsid w:val="17471E3D"/>
    <w:rsid w:val="174A246D"/>
    <w:rsid w:val="1752258F"/>
    <w:rsid w:val="175C51BC"/>
    <w:rsid w:val="175D340E"/>
    <w:rsid w:val="175E0F34"/>
    <w:rsid w:val="175E6B6A"/>
    <w:rsid w:val="1768590F"/>
    <w:rsid w:val="176A436F"/>
    <w:rsid w:val="176C53FF"/>
    <w:rsid w:val="17732C32"/>
    <w:rsid w:val="178A3AD7"/>
    <w:rsid w:val="178A7F7B"/>
    <w:rsid w:val="17AF353E"/>
    <w:rsid w:val="17B07BF3"/>
    <w:rsid w:val="17B648CC"/>
    <w:rsid w:val="17C678CB"/>
    <w:rsid w:val="17D36241"/>
    <w:rsid w:val="17EC4792"/>
    <w:rsid w:val="180A2E6A"/>
    <w:rsid w:val="181635BD"/>
    <w:rsid w:val="18267CA4"/>
    <w:rsid w:val="18291542"/>
    <w:rsid w:val="18365A0D"/>
    <w:rsid w:val="18381785"/>
    <w:rsid w:val="185C58A7"/>
    <w:rsid w:val="18702CCD"/>
    <w:rsid w:val="188B3FAB"/>
    <w:rsid w:val="18A40BC9"/>
    <w:rsid w:val="18B76B4E"/>
    <w:rsid w:val="18BD045D"/>
    <w:rsid w:val="18C43019"/>
    <w:rsid w:val="18C46CF3"/>
    <w:rsid w:val="18DC0363"/>
    <w:rsid w:val="18FB6DC4"/>
    <w:rsid w:val="18FD1A72"/>
    <w:rsid w:val="18FF22A3"/>
    <w:rsid w:val="19137AFC"/>
    <w:rsid w:val="191C4C03"/>
    <w:rsid w:val="19326F59"/>
    <w:rsid w:val="194D300E"/>
    <w:rsid w:val="19772A79"/>
    <w:rsid w:val="19B80DD0"/>
    <w:rsid w:val="19D379B8"/>
    <w:rsid w:val="19FD4A34"/>
    <w:rsid w:val="1A07140F"/>
    <w:rsid w:val="1A0C7826"/>
    <w:rsid w:val="1A1104E0"/>
    <w:rsid w:val="1A136006"/>
    <w:rsid w:val="1A2F1DF7"/>
    <w:rsid w:val="1A385A6D"/>
    <w:rsid w:val="1A437ED6"/>
    <w:rsid w:val="1A484105"/>
    <w:rsid w:val="1A525767"/>
    <w:rsid w:val="1A69031C"/>
    <w:rsid w:val="1A815666"/>
    <w:rsid w:val="1A8C7B66"/>
    <w:rsid w:val="1AB01AA7"/>
    <w:rsid w:val="1ACB068F"/>
    <w:rsid w:val="1ADA2FC8"/>
    <w:rsid w:val="1ADA4D76"/>
    <w:rsid w:val="1AF75EF5"/>
    <w:rsid w:val="1AFD0A64"/>
    <w:rsid w:val="1B0B5973"/>
    <w:rsid w:val="1B102545"/>
    <w:rsid w:val="1B133E17"/>
    <w:rsid w:val="1B177D78"/>
    <w:rsid w:val="1B21350A"/>
    <w:rsid w:val="1B3E5305"/>
    <w:rsid w:val="1B544B28"/>
    <w:rsid w:val="1B8371BB"/>
    <w:rsid w:val="1BA01BB2"/>
    <w:rsid w:val="1BB455C7"/>
    <w:rsid w:val="1BC577D4"/>
    <w:rsid w:val="1BD417C5"/>
    <w:rsid w:val="1BE0460E"/>
    <w:rsid w:val="1BE22134"/>
    <w:rsid w:val="1BF80FCF"/>
    <w:rsid w:val="1C1553FF"/>
    <w:rsid w:val="1C283304"/>
    <w:rsid w:val="1C2838BF"/>
    <w:rsid w:val="1C3B7A96"/>
    <w:rsid w:val="1C4E77C9"/>
    <w:rsid w:val="1C534DE0"/>
    <w:rsid w:val="1C641230"/>
    <w:rsid w:val="1C9F0025"/>
    <w:rsid w:val="1CA27B15"/>
    <w:rsid w:val="1CAB5C51"/>
    <w:rsid w:val="1CAC2742"/>
    <w:rsid w:val="1CAC3B3D"/>
    <w:rsid w:val="1CB533A4"/>
    <w:rsid w:val="1CBA4E5F"/>
    <w:rsid w:val="1CC400CA"/>
    <w:rsid w:val="1CCC06EE"/>
    <w:rsid w:val="1CD2349E"/>
    <w:rsid w:val="1CED18DB"/>
    <w:rsid w:val="1CEF00ED"/>
    <w:rsid w:val="1CFA16FF"/>
    <w:rsid w:val="1CFE11EF"/>
    <w:rsid w:val="1D022362"/>
    <w:rsid w:val="1D0866CB"/>
    <w:rsid w:val="1D1E3640"/>
    <w:rsid w:val="1D3159D0"/>
    <w:rsid w:val="1D3D339A"/>
    <w:rsid w:val="1D3F7112"/>
    <w:rsid w:val="1D4209B0"/>
    <w:rsid w:val="1D530C7D"/>
    <w:rsid w:val="1D632B53"/>
    <w:rsid w:val="1D6B43AB"/>
    <w:rsid w:val="1D6D0123"/>
    <w:rsid w:val="1D7B2840"/>
    <w:rsid w:val="1D940DB0"/>
    <w:rsid w:val="1DA72630"/>
    <w:rsid w:val="1DC835AB"/>
    <w:rsid w:val="1DDC7057"/>
    <w:rsid w:val="1DE960B7"/>
    <w:rsid w:val="1DEF77E3"/>
    <w:rsid w:val="1DFB74DD"/>
    <w:rsid w:val="1E110AAE"/>
    <w:rsid w:val="1E220F0E"/>
    <w:rsid w:val="1E2527AC"/>
    <w:rsid w:val="1E3173A3"/>
    <w:rsid w:val="1E3D5D47"/>
    <w:rsid w:val="1E8821E9"/>
    <w:rsid w:val="1EA27958"/>
    <w:rsid w:val="1EC91389"/>
    <w:rsid w:val="1EE91A2B"/>
    <w:rsid w:val="1F095C2A"/>
    <w:rsid w:val="1F242A63"/>
    <w:rsid w:val="1F301408"/>
    <w:rsid w:val="1F396124"/>
    <w:rsid w:val="1F3A5DE3"/>
    <w:rsid w:val="1F422EEA"/>
    <w:rsid w:val="1F435B57"/>
    <w:rsid w:val="1F5A0233"/>
    <w:rsid w:val="1F5A6485"/>
    <w:rsid w:val="1F5F074C"/>
    <w:rsid w:val="1F647304"/>
    <w:rsid w:val="1F95570F"/>
    <w:rsid w:val="1FE521F3"/>
    <w:rsid w:val="1FEB532F"/>
    <w:rsid w:val="2001472C"/>
    <w:rsid w:val="20014B53"/>
    <w:rsid w:val="20016901"/>
    <w:rsid w:val="20166850"/>
    <w:rsid w:val="203B19C0"/>
    <w:rsid w:val="204B7267"/>
    <w:rsid w:val="20803CC9"/>
    <w:rsid w:val="20A51982"/>
    <w:rsid w:val="20A73065"/>
    <w:rsid w:val="20A83220"/>
    <w:rsid w:val="20B16579"/>
    <w:rsid w:val="20C46ABB"/>
    <w:rsid w:val="20CC72B6"/>
    <w:rsid w:val="20DB35F6"/>
    <w:rsid w:val="20E06E5E"/>
    <w:rsid w:val="21052AC9"/>
    <w:rsid w:val="210669F5"/>
    <w:rsid w:val="21182CA5"/>
    <w:rsid w:val="21222FD3"/>
    <w:rsid w:val="21224918"/>
    <w:rsid w:val="21246D4B"/>
    <w:rsid w:val="2126612C"/>
    <w:rsid w:val="2130749E"/>
    <w:rsid w:val="2139763B"/>
    <w:rsid w:val="214B166A"/>
    <w:rsid w:val="2197751D"/>
    <w:rsid w:val="21983295"/>
    <w:rsid w:val="219C7306"/>
    <w:rsid w:val="219C7685"/>
    <w:rsid w:val="21A51C1A"/>
    <w:rsid w:val="21B6299C"/>
    <w:rsid w:val="21B87493"/>
    <w:rsid w:val="21C83B7A"/>
    <w:rsid w:val="21CA1C53"/>
    <w:rsid w:val="21CD2F3E"/>
    <w:rsid w:val="21FC7CC7"/>
    <w:rsid w:val="21FE759C"/>
    <w:rsid w:val="221E7C3E"/>
    <w:rsid w:val="222F1E4B"/>
    <w:rsid w:val="223F5AB8"/>
    <w:rsid w:val="224A0A33"/>
    <w:rsid w:val="226002D5"/>
    <w:rsid w:val="22791FE0"/>
    <w:rsid w:val="22833F45"/>
    <w:rsid w:val="22873A35"/>
    <w:rsid w:val="22943A5C"/>
    <w:rsid w:val="22A16179"/>
    <w:rsid w:val="22A30143"/>
    <w:rsid w:val="22B10AB2"/>
    <w:rsid w:val="22B66D05"/>
    <w:rsid w:val="22BA5184"/>
    <w:rsid w:val="22C5455D"/>
    <w:rsid w:val="22CC1448"/>
    <w:rsid w:val="22F62969"/>
    <w:rsid w:val="22FD3CF7"/>
    <w:rsid w:val="23047D7C"/>
    <w:rsid w:val="23122DE5"/>
    <w:rsid w:val="231A178A"/>
    <w:rsid w:val="23393203"/>
    <w:rsid w:val="233D205C"/>
    <w:rsid w:val="234B73CC"/>
    <w:rsid w:val="23515DF1"/>
    <w:rsid w:val="2358717F"/>
    <w:rsid w:val="235F22BC"/>
    <w:rsid w:val="237C10C0"/>
    <w:rsid w:val="23812232"/>
    <w:rsid w:val="238A7DBA"/>
    <w:rsid w:val="239312F5"/>
    <w:rsid w:val="23980A4F"/>
    <w:rsid w:val="23983A20"/>
    <w:rsid w:val="23AD74CB"/>
    <w:rsid w:val="23AE4FF1"/>
    <w:rsid w:val="23C465C3"/>
    <w:rsid w:val="23C87E61"/>
    <w:rsid w:val="23CB5BA3"/>
    <w:rsid w:val="23DC1B5F"/>
    <w:rsid w:val="23DD3661"/>
    <w:rsid w:val="23F92711"/>
    <w:rsid w:val="23FC5D5D"/>
    <w:rsid w:val="24044C11"/>
    <w:rsid w:val="240F3CE2"/>
    <w:rsid w:val="24107A5A"/>
    <w:rsid w:val="24253506"/>
    <w:rsid w:val="242D4168"/>
    <w:rsid w:val="24341EB9"/>
    <w:rsid w:val="2435126F"/>
    <w:rsid w:val="24373239"/>
    <w:rsid w:val="244D65B8"/>
    <w:rsid w:val="244F0582"/>
    <w:rsid w:val="245416F5"/>
    <w:rsid w:val="245B0CD5"/>
    <w:rsid w:val="245B7E1B"/>
    <w:rsid w:val="246B4C91"/>
    <w:rsid w:val="24724271"/>
    <w:rsid w:val="247B3126"/>
    <w:rsid w:val="247E76DD"/>
    <w:rsid w:val="2480073C"/>
    <w:rsid w:val="248D5F2E"/>
    <w:rsid w:val="24A32B10"/>
    <w:rsid w:val="24AB2614"/>
    <w:rsid w:val="24B808B0"/>
    <w:rsid w:val="24F609FE"/>
    <w:rsid w:val="250274DC"/>
    <w:rsid w:val="2504136D"/>
    <w:rsid w:val="250749B9"/>
    <w:rsid w:val="251009E1"/>
    <w:rsid w:val="251B2213"/>
    <w:rsid w:val="25237319"/>
    <w:rsid w:val="25461985"/>
    <w:rsid w:val="255319AC"/>
    <w:rsid w:val="255816B9"/>
    <w:rsid w:val="256040C9"/>
    <w:rsid w:val="25665B84"/>
    <w:rsid w:val="25787665"/>
    <w:rsid w:val="25A246E2"/>
    <w:rsid w:val="25A428FF"/>
    <w:rsid w:val="25C26B32"/>
    <w:rsid w:val="25CB1E8B"/>
    <w:rsid w:val="25CD5AD7"/>
    <w:rsid w:val="25F50CB6"/>
    <w:rsid w:val="26025181"/>
    <w:rsid w:val="2604634A"/>
    <w:rsid w:val="26062EC3"/>
    <w:rsid w:val="260F621B"/>
    <w:rsid w:val="26211AAB"/>
    <w:rsid w:val="262670C1"/>
    <w:rsid w:val="262F241A"/>
    <w:rsid w:val="2633160E"/>
    <w:rsid w:val="265C24B0"/>
    <w:rsid w:val="2696426F"/>
    <w:rsid w:val="2697245B"/>
    <w:rsid w:val="269A4809"/>
    <w:rsid w:val="26A024D9"/>
    <w:rsid w:val="26A338B2"/>
    <w:rsid w:val="26A821CC"/>
    <w:rsid w:val="26A84A0A"/>
    <w:rsid w:val="26A85D28"/>
    <w:rsid w:val="26B172D2"/>
    <w:rsid w:val="26B50445"/>
    <w:rsid w:val="26CD1546"/>
    <w:rsid w:val="26E641FB"/>
    <w:rsid w:val="26EC030B"/>
    <w:rsid w:val="26ED5E31"/>
    <w:rsid w:val="26ED7BDF"/>
    <w:rsid w:val="26F471BF"/>
    <w:rsid w:val="26F62F37"/>
    <w:rsid w:val="270C275B"/>
    <w:rsid w:val="27361586"/>
    <w:rsid w:val="274517C9"/>
    <w:rsid w:val="274A6DDF"/>
    <w:rsid w:val="275807AF"/>
    <w:rsid w:val="2768712B"/>
    <w:rsid w:val="27787DF0"/>
    <w:rsid w:val="277D71B5"/>
    <w:rsid w:val="27B90C4D"/>
    <w:rsid w:val="27CA2B44"/>
    <w:rsid w:val="27F03E2A"/>
    <w:rsid w:val="27F52125"/>
    <w:rsid w:val="28043B56"/>
    <w:rsid w:val="280B3CFB"/>
    <w:rsid w:val="280B656E"/>
    <w:rsid w:val="28161985"/>
    <w:rsid w:val="285148C4"/>
    <w:rsid w:val="285F4B0C"/>
    <w:rsid w:val="28734E32"/>
    <w:rsid w:val="288051AE"/>
    <w:rsid w:val="289C366A"/>
    <w:rsid w:val="28B72697"/>
    <w:rsid w:val="28BB09C3"/>
    <w:rsid w:val="28CB1816"/>
    <w:rsid w:val="28E31299"/>
    <w:rsid w:val="28E60D8A"/>
    <w:rsid w:val="29665200"/>
    <w:rsid w:val="296672B1"/>
    <w:rsid w:val="298365D8"/>
    <w:rsid w:val="29954C89"/>
    <w:rsid w:val="29A273A6"/>
    <w:rsid w:val="29BA649E"/>
    <w:rsid w:val="29D357B2"/>
    <w:rsid w:val="29E67293"/>
    <w:rsid w:val="29FA0F90"/>
    <w:rsid w:val="2A046DA4"/>
    <w:rsid w:val="2A3E70CF"/>
    <w:rsid w:val="2A5A558B"/>
    <w:rsid w:val="2A5E66E7"/>
    <w:rsid w:val="2A6308E4"/>
    <w:rsid w:val="2A693A20"/>
    <w:rsid w:val="2A915A0E"/>
    <w:rsid w:val="2A9D3745"/>
    <w:rsid w:val="2AB2780B"/>
    <w:rsid w:val="2AB7478C"/>
    <w:rsid w:val="2ACD0453"/>
    <w:rsid w:val="2ACF41CB"/>
    <w:rsid w:val="2AD90BA6"/>
    <w:rsid w:val="2AEA0A59"/>
    <w:rsid w:val="2AF849C9"/>
    <w:rsid w:val="2B0602BE"/>
    <w:rsid w:val="2B2A1401"/>
    <w:rsid w:val="2B392F3E"/>
    <w:rsid w:val="2B45448D"/>
    <w:rsid w:val="2B724B56"/>
    <w:rsid w:val="2B7663F5"/>
    <w:rsid w:val="2BB1633C"/>
    <w:rsid w:val="2BB313F7"/>
    <w:rsid w:val="2BDD46C6"/>
    <w:rsid w:val="2BE5357A"/>
    <w:rsid w:val="2C1D0F66"/>
    <w:rsid w:val="2C210F6D"/>
    <w:rsid w:val="2C2B5431"/>
    <w:rsid w:val="2C4B5AD3"/>
    <w:rsid w:val="2C7A3CC3"/>
    <w:rsid w:val="2C7F39CF"/>
    <w:rsid w:val="2CA945A8"/>
    <w:rsid w:val="2CBA0563"/>
    <w:rsid w:val="2CBE44F7"/>
    <w:rsid w:val="2CD71115"/>
    <w:rsid w:val="2CDF639B"/>
    <w:rsid w:val="2CE82102"/>
    <w:rsid w:val="2CEA709A"/>
    <w:rsid w:val="2D0A14EA"/>
    <w:rsid w:val="2D1660E1"/>
    <w:rsid w:val="2D3B71AD"/>
    <w:rsid w:val="2D443D65"/>
    <w:rsid w:val="2D4A18E7"/>
    <w:rsid w:val="2D5D3C4E"/>
    <w:rsid w:val="2D8E201B"/>
    <w:rsid w:val="2DA30746"/>
    <w:rsid w:val="2DB94CBF"/>
    <w:rsid w:val="2DC53663"/>
    <w:rsid w:val="2DC86CB0"/>
    <w:rsid w:val="2DCC2C44"/>
    <w:rsid w:val="2DD6761F"/>
    <w:rsid w:val="2DDF3957"/>
    <w:rsid w:val="2DE63220"/>
    <w:rsid w:val="2DE9470A"/>
    <w:rsid w:val="2E035D14"/>
    <w:rsid w:val="2E0E6A8A"/>
    <w:rsid w:val="2E156399"/>
    <w:rsid w:val="2E1B7727"/>
    <w:rsid w:val="2E8A5B37"/>
    <w:rsid w:val="2E935510"/>
    <w:rsid w:val="2E9F2106"/>
    <w:rsid w:val="2EAE60AC"/>
    <w:rsid w:val="2EC27BA3"/>
    <w:rsid w:val="2EE67D35"/>
    <w:rsid w:val="2EED4C20"/>
    <w:rsid w:val="2EF20488"/>
    <w:rsid w:val="2EFF2BA5"/>
    <w:rsid w:val="2F017751"/>
    <w:rsid w:val="2F0506B8"/>
    <w:rsid w:val="2F063F34"/>
    <w:rsid w:val="2F536455"/>
    <w:rsid w:val="2F6A2714"/>
    <w:rsid w:val="2F7E7A94"/>
    <w:rsid w:val="2F927A56"/>
    <w:rsid w:val="2F930C2B"/>
    <w:rsid w:val="2FA07EE4"/>
    <w:rsid w:val="2FA63021"/>
    <w:rsid w:val="2FBC1EE1"/>
    <w:rsid w:val="2FD31515"/>
    <w:rsid w:val="2FDE27BA"/>
    <w:rsid w:val="2FEA2971"/>
    <w:rsid w:val="2FEB5ED5"/>
    <w:rsid w:val="2FF26266"/>
    <w:rsid w:val="2FFA689C"/>
    <w:rsid w:val="300264A9"/>
    <w:rsid w:val="300F20AC"/>
    <w:rsid w:val="30403541"/>
    <w:rsid w:val="306233EC"/>
    <w:rsid w:val="30631D01"/>
    <w:rsid w:val="307849BD"/>
    <w:rsid w:val="307D6477"/>
    <w:rsid w:val="307E5AA8"/>
    <w:rsid w:val="308360CB"/>
    <w:rsid w:val="30980BBB"/>
    <w:rsid w:val="30C52318"/>
    <w:rsid w:val="30C776F3"/>
    <w:rsid w:val="30CB7EF2"/>
    <w:rsid w:val="30CE542D"/>
    <w:rsid w:val="30EB518F"/>
    <w:rsid w:val="30EF0CD6"/>
    <w:rsid w:val="31077AEF"/>
    <w:rsid w:val="31175D92"/>
    <w:rsid w:val="311961A0"/>
    <w:rsid w:val="311A0B44"/>
    <w:rsid w:val="312A17C7"/>
    <w:rsid w:val="312C15FD"/>
    <w:rsid w:val="31413001"/>
    <w:rsid w:val="3152520E"/>
    <w:rsid w:val="31540F86"/>
    <w:rsid w:val="31554CFE"/>
    <w:rsid w:val="316118F5"/>
    <w:rsid w:val="31692558"/>
    <w:rsid w:val="31784752"/>
    <w:rsid w:val="31905D36"/>
    <w:rsid w:val="31AA329C"/>
    <w:rsid w:val="31B82C24"/>
    <w:rsid w:val="31BB1005"/>
    <w:rsid w:val="31CA1248"/>
    <w:rsid w:val="31D67BED"/>
    <w:rsid w:val="31D75713"/>
    <w:rsid w:val="31E22A36"/>
    <w:rsid w:val="31F42769"/>
    <w:rsid w:val="31FE63E8"/>
    <w:rsid w:val="32195D2C"/>
    <w:rsid w:val="32222E32"/>
    <w:rsid w:val="32292413"/>
    <w:rsid w:val="323A4620"/>
    <w:rsid w:val="323F6B41"/>
    <w:rsid w:val="32546D64"/>
    <w:rsid w:val="325A081E"/>
    <w:rsid w:val="32766DAF"/>
    <w:rsid w:val="327A2C6E"/>
    <w:rsid w:val="328B4E7C"/>
    <w:rsid w:val="32B1065A"/>
    <w:rsid w:val="333C43C8"/>
    <w:rsid w:val="333F5C66"/>
    <w:rsid w:val="334D7931"/>
    <w:rsid w:val="33615BDC"/>
    <w:rsid w:val="33760038"/>
    <w:rsid w:val="33833DA5"/>
    <w:rsid w:val="3390201E"/>
    <w:rsid w:val="33947D60"/>
    <w:rsid w:val="33A65CE5"/>
    <w:rsid w:val="33C61EE3"/>
    <w:rsid w:val="33CD760B"/>
    <w:rsid w:val="33DE547F"/>
    <w:rsid w:val="33F22CD8"/>
    <w:rsid w:val="33FE342B"/>
    <w:rsid w:val="340D2BF5"/>
    <w:rsid w:val="34164C19"/>
    <w:rsid w:val="342015F4"/>
    <w:rsid w:val="34433534"/>
    <w:rsid w:val="344A1462"/>
    <w:rsid w:val="345E3ECA"/>
    <w:rsid w:val="34676195"/>
    <w:rsid w:val="349B511E"/>
    <w:rsid w:val="34A042EE"/>
    <w:rsid w:val="34A246FE"/>
    <w:rsid w:val="35007112"/>
    <w:rsid w:val="35123632"/>
    <w:rsid w:val="351F5D4F"/>
    <w:rsid w:val="352073D1"/>
    <w:rsid w:val="35213875"/>
    <w:rsid w:val="35305866"/>
    <w:rsid w:val="353C06AF"/>
    <w:rsid w:val="355D635D"/>
    <w:rsid w:val="355E0625"/>
    <w:rsid w:val="355E22C9"/>
    <w:rsid w:val="35651D20"/>
    <w:rsid w:val="35702107"/>
    <w:rsid w:val="357B1FA8"/>
    <w:rsid w:val="35A26038"/>
    <w:rsid w:val="35B446E9"/>
    <w:rsid w:val="35B50461"/>
    <w:rsid w:val="35DF103A"/>
    <w:rsid w:val="35E02753"/>
    <w:rsid w:val="35F66AB0"/>
    <w:rsid w:val="35FC7E3E"/>
    <w:rsid w:val="35FF348B"/>
    <w:rsid w:val="360F36CE"/>
    <w:rsid w:val="362178A5"/>
    <w:rsid w:val="3627310D"/>
    <w:rsid w:val="3636463B"/>
    <w:rsid w:val="364A6DFC"/>
    <w:rsid w:val="364C2B74"/>
    <w:rsid w:val="36592B9B"/>
    <w:rsid w:val="367B0D63"/>
    <w:rsid w:val="368D6CE8"/>
    <w:rsid w:val="36914A2B"/>
    <w:rsid w:val="36AA789A"/>
    <w:rsid w:val="36AC716F"/>
    <w:rsid w:val="36BD5820"/>
    <w:rsid w:val="36BD75CE"/>
    <w:rsid w:val="36DB5CA6"/>
    <w:rsid w:val="36E60BE0"/>
    <w:rsid w:val="3701395E"/>
    <w:rsid w:val="3709636F"/>
    <w:rsid w:val="371511B8"/>
    <w:rsid w:val="37294C63"/>
    <w:rsid w:val="373D24BC"/>
    <w:rsid w:val="37425D25"/>
    <w:rsid w:val="37461371"/>
    <w:rsid w:val="376302F8"/>
    <w:rsid w:val="376D2DA2"/>
    <w:rsid w:val="37754C22"/>
    <w:rsid w:val="378123A9"/>
    <w:rsid w:val="378679C0"/>
    <w:rsid w:val="37920A5A"/>
    <w:rsid w:val="37987968"/>
    <w:rsid w:val="37991DE9"/>
    <w:rsid w:val="37A2797E"/>
    <w:rsid w:val="37A46C12"/>
    <w:rsid w:val="37AE5168"/>
    <w:rsid w:val="37C52BDE"/>
    <w:rsid w:val="37E56DDC"/>
    <w:rsid w:val="3809239F"/>
    <w:rsid w:val="380D00E1"/>
    <w:rsid w:val="381274A5"/>
    <w:rsid w:val="382507E6"/>
    <w:rsid w:val="38303DCF"/>
    <w:rsid w:val="38393E83"/>
    <w:rsid w:val="3845787B"/>
    <w:rsid w:val="385B0BBC"/>
    <w:rsid w:val="38AD71CE"/>
    <w:rsid w:val="38B62526"/>
    <w:rsid w:val="38C06F01"/>
    <w:rsid w:val="38C67BD5"/>
    <w:rsid w:val="38D46734"/>
    <w:rsid w:val="39126EC4"/>
    <w:rsid w:val="39225E0E"/>
    <w:rsid w:val="39241B86"/>
    <w:rsid w:val="393731E6"/>
    <w:rsid w:val="39382F3B"/>
    <w:rsid w:val="393D2C48"/>
    <w:rsid w:val="393F076E"/>
    <w:rsid w:val="3949339B"/>
    <w:rsid w:val="3958538C"/>
    <w:rsid w:val="39616936"/>
    <w:rsid w:val="39763A64"/>
    <w:rsid w:val="39B20F40"/>
    <w:rsid w:val="39C40C73"/>
    <w:rsid w:val="39CE641A"/>
    <w:rsid w:val="39D210D0"/>
    <w:rsid w:val="39D72754"/>
    <w:rsid w:val="39EA2D8B"/>
    <w:rsid w:val="39EC3D26"/>
    <w:rsid w:val="39F96B6F"/>
    <w:rsid w:val="3A064DE8"/>
    <w:rsid w:val="3A125E82"/>
    <w:rsid w:val="3A305520"/>
    <w:rsid w:val="3A361B71"/>
    <w:rsid w:val="3A6A35C8"/>
    <w:rsid w:val="3A6D130B"/>
    <w:rsid w:val="3A7E7074"/>
    <w:rsid w:val="3A8328DC"/>
    <w:rsid w:val="3A96552E"/>
    <w:rsid w:val="3AA06FEA"/>
    <w:rsid w:val="3AA30888"/>
    <w:rsid w:val="3AAF722D"/>
    <w:rsid w:val="3AB17449"/>
    <w:rsid w:val="3AC802EF"/>
    <w:rsid w:val="3ACA22B9"/>
    <w:rsid w:val="3ACE5550"/>
    <w:rsid w:val="3AE3337B"/>
    <w:rsid w:val="3AEF1D0C"/>
    <w:rsid w:val="3B0F5F1E"/>
    <w:rsid w:val="3B133C60"/>
    <w:rsid w:val="3B1479D8"/>
    <w:rsid w:val="3B42010B"/>
    <w:rsid w:val="3B567FF1"/>
    <w:rsid w:val="3B574410"/>
    <w:rsid w:val="3B637E13"/>
    <w:rsid w:val="3B7D37CF"/>
    <w:rsid w:val="3B844B5E"/>
    <w:rsid w:val="3B936BDE"/>
    <w:rsid w:val="3BA1126C"/>
    <w:rsid w:val="3BAB20EB"/>
    <w:rsid w:val="3BB24DE0"/>
    <w:rsid w:val="3BC96A15"/>
    <w:rsid w:val="3BD9707D"/>
    <w:rsid w:val="3BE850ED"/>
    <w:rsid w:val="3C616C4D"/>
    <w:rsid w:val="3C776471"/>
    <w:rsid w:val="3C8A7F52"/>
    <w:rsid w:val="3C921909"/>
    <w:rsid w:val="3C990195"/>
    <w:rsid w:val="3CA52FDE"/>
    <w:rsid w:val="3CA65F73"/>
    <w:rsid w:val="3CAF1767"/>
    <w:rsid w:val="3CB7686D"/>
    <w:rsid w:val="3CBD0327"/>
    <w:rsid w:val="3CBE19AA"/>
    <w:rsid w:val="3CEB6517"/>
    <w:rsid w:val="3CED6733"/>
    <w:rsid w:val="3CF74EBC"/>
    <w:rsid w:val="3CF80E92"/>
    <w:rsid w:val="3CFB2BFE"/>
    <w:rsid w:val="3D09356D"/>
    <w:rsid w:val="3D0E080C"/>
    <w:rsid w:val="3D167A38"/>
    <w:rsid w:val="3D193084"/>
    <w:rsid w:val="3D197528"/>
    <w:rsid w:val="3D2D6B2F"/>
    <w:rsid w:val="3D324D36"/>
    <w:rsid w:val="3D9F17DB"/>
    <w:rsid w:val="3DA96E02"/>
    <w:rsid w:val="3DB72FC9"/>
    <w:rsid w:val="3DBFFBF0"/>
    <w:rsid w:val="3DC454EF"/>
    <w:rsid w:val="3DCE3E6E"/>
    <w:rsid w:val="3DD25B93"/>
    <w:rsid w:val="3DE511B8"/>
    <w:rsid w:val="3DF2454E"/>
    <w:rsid w:val="3E0F771B"/>
    <w:rsid w:val="3E140565"/>
    <w:rsid w:val="3E155F41"/>
    <w:rsid w:val="3E1B5535"/>
    <w:rsid w:val="3E203BE4"/>
    <w:rsid w:val="3E3F4D6C"/>
    <w:rsid w:val="3E916C1F"/>
    <w:rsid w:val="3EBE0387"/>
    <w:rsid w:val="3EC94FA6"/>
    <w:rsid w:val="3ED05677"/>
    <w:rsid w:val="3EF63F99"/>
    <w:rsid w:val="3F067638"/>
    <w:rsid w:val="3F0C10F2"/>
    <w:rsid w:val="3F281CA4"/>
    <w:rsid w:val="3F3423F7"/>
    <w:rsid w:val="3F375A43"/>
    <w:rsid w:val="3F491BC0"/>
    <w:rsid w:val="3F5C04AC"/>
    <w:rsid w:val="3F634A8A"/>
    <w:rsid w:val="3F6727CC"/>
    <w:rsid w:val="3F7453DF"/>
    <w:rsid w:val="3F7B211F"/>
    <w:rsid w:val="3F827606"/>
    <w:rsid w:val="3F917849"/>
    <w:rsid w:val="3F95733A"/>
    <w:rsid w:val="3FA05CDE"/>
    <w:rsid w:val="3FA23805"/>
    <w:rsid w:val="3FAE03FB"/>
    <w:rsid w:val="400C205E"/>
    <w:rsid w:val="402E5885"/>
    <w:rsid w:val="40381A73"/>
    <w:rsid w:val="403F2E01"/>
    <w:rsid w:val="40490124"/>
    <w:rsid w:val="405014B2"/>
    <w:rsid w:val="405A40DF"/>
    <w:rsid w:val="40610FCA"/>
    <w:rsid w:val="40AD06B3"/>
    <w:rsid w:val="40CD2B03"/>
    <w:rsid w:val="40E36EF3"/>
    <w:rsid w:val="40E901A0"/>
    <w:rsid w:val="40F167F2"/>
    <w:rsid w:val="410022C0"/>
    <w:rsid w:val="410A340F"/>
    <w:rsid w:val="411C75E7"/>
    <w:rsid w:val="41494DE3"/>
    <w:rsid w:val="414A76CF"/>
    <w:rsid w:val="414C66FF"/>
    <w:rsid w:val="41670862"/>
    <w:rsid w:val="41685B7A"/>
    <w:rsid w:val="416D1BF0"/>
    <w:rsid w:val="41792343"/>
    <w:rsid w:val="418036D2"/>
    <w:rsid w:val="41EC6FB9"/>
    <w:rsid w:val="41FB544E"/>
    <w:rsid w:val="4203048B"/>
    <w:rsid w:val="420E40CE"/>
    <w:rsid w:val="42106E96"/>
    <w:rsid w:val="42132798"/>
    <w:rsid w:val="42293D69"/>
    <w:rsid w:val="423D7815"/>
    <w:rsid w:val="42562684"/>
    <w:rsid w:val="42567CAB"/>
    <w:rsid w:val="425A6618"/>
    <w:rsid w:val="42703746"/>
    <w:rsid w:val="42A47894"/>
    <w:rsid w:val="42AC04F6"/>
    <w:rsid w:val="42AF11ED"/>
    <w:rsid w:val="42B25F39"/>
    <w:rsid w:val="42BC2E2F"/>
    <w:rsid w:val="42BF46CD"/>
    <w:rsid w:val="42E163F2"/>
    <w:rsid w:val="42E859D2"/>
    <w:rsid w:val="42FE0D52"/>
    <w:rsid w:val="43201866"/>
    <w:rsid w:val="43212C92"/>
    <w:rsid w:val="4328518F"/>
    <w:rsid w:val="4334739A"/>
    <w:rsid w:val="433504EC"/>
    <w:rsid w:val="4340600B"/>
    <w:rsid w:val="4355293C"/>
    <w:rsid w:val="4356724C"/>
    <w:rsid w:val="435B2648"/>
    <w:rsid w:val="436D5ED7"/>
    <w:rsid w:val="43707776"/>
    <w:rsid w:val="43720088"/>
    <w:rsid w:val="43743CE6"/>
    <w:rsid w:val="439671DC"/>
    <w:rsid w:val="43A044FF"/>
    <w:rsid w:val="43C006FD"/>
    <w:rsid w:val="43DD12AF"/>
    <w:rsid w:val="43F108B7"/>
    <w:rsid w:val="4404683C"/>
    <w:rsid w:val="44056110"/>
    <w:rsid w:val="441D78FE"/>
    <w:rsid w:val="444200F5"/>
    <w:rsid w:val="445A46AE"/>
    <w:rsid w:val="4466124E"/>
    <w:rsid w:val="446E63AB"/>
    <w:rsid w:val="4475773A"/>
    <w:rsid w:val="447F5EC2"/>
    <w:rsid w:val="44B10046"/>
    <w:rsid w:val="44C77869"/>
    <w:rsid w:val="44D73F50"/>
    <w:rsid w:val="44EF6789"/>
    <w:rsid w:val="45054FDF"/>
    <w:rsid w:val="450562E2"/>
    <w:rsid w:val="45156827"/>
    <w:rsid w:val="451C7BB5"/>
    <w:rsid w:val="45341138"/>
    <w:rsid w:val="453E7B2C"/>
    <w:rsid w:val="45444586"/>
    <w:rsid w:val="45576E3F"/>
    <w:rsid w:val="45614516"/>
    <w:rsid w:val="456A6B72"/>
    <w:rsid w:val="457C5F26"/>
    <w:rsid w:val="45800144"/>
    <w:rsid w:val="458C3E37"/>
    <w:rsid w:val="45A7777B"/>
    <w:rsid w:val="45A90649"/>
    <w:rsid w:val="45B33B9B"/>
    <w:rsid w:val="45C02C36"/>
    <w:rsid w:val="45C6267D"/>
    <w:rsid w:val="45CE5353"/>
    <w:rsid w:val="45ED3300"/>
    <w:rsid w:val="45ED50AE"/>
    <w:rsid w:val="45F40516"/>
    <w:rsid w:val="460102A4"/>
    <w:rsid w:val="461C6EB7"/>
    <w:rsid w:val="462A4554"/>
    <w:rsid w:val="464216D6"/>
    <w:rsid w:val="46504C6F"/>
    <w:rsid w:val="4651388E"/>
    <w:rsid w:val="465D0485"/>
    <w:rsid w:val="465E7D59"/>
    <w:rsid w:val="46937059"/>
    <w:rsid w:val="46957C1F"/>
    <w:rsid w:val="46A95479"/>
    <w:rsid w:val="46AC4F69"/>
    <w:rsid w:val="46BA1434"/>
    <w:rsid w:val="46C73B51"/>
    <w:rsid w:val="46C92DA7"/>
    <w:rsid w:val="46D52711"/>
    <w:rsid w:val="46D958AA"/>
    <w:rsid w:val="46DC75FC"/>
    <w:rsid w:val="46EB5A91"/>
    <w:rsid w:val="470E352E"/>
    <w:rsid w:val="470E79D1"/>
    <w:rsid w:val="471E7C15"/>
    <w:rsid w:val="472471F5"/>
    <w:rsid w:val="472D42FC"/>
    <w:rsid w:val="472E597E"/>
    <w:rsid w:val="47372465"/>
    <w:rsid w:val="477041E8"/>
    <w:rsid w:val="477A6E15"/>
    <w:rsid w:val="47DB78B4"/>
    <w:rsid w:val="47FD3CCE"/>
    <w:rsid w:val="47FE7A46"/>
    <w:rsid w:val="480F3A01"/>
    <w:rsid w:val="481E3AAF"/>
    <w:rsid w:val="48207910"/>
    <w:rsid w:val="48253225"/>
    <w:rsid w:val="48335D86"/>
    <w:rsid w:val="483A4518"/>
    <w:rsid w:val="483B08B4"/>
    <w:rsid w:val="48484C47"/>
    <w:rsid w:val="484C255F"/>
    <w:rsid w:val="48541414"/>
    <w:rsid w:val="48623B31"/>
    <w:rsid w:val="48684EBF"/>
    <w:rsid w:val="48724537"/>
    <w:rsid w:val="48895562"/>
    <w:rsid w:val="488B69F8"/>
    <w:rsid w:val="48965ED0"/>
    <w:rsid w:val="48C447EC"/>
    <w:rsid w:val="48C90054"/>
    <w:rsid w:val="48D84455"/>
    <w:rsid w:val="48FA296C"/>
    <w:rsid w:val="490231AB"/>
    <w:rsid w:val="49027548"/>
    <w:rsid w:val="49115557"/>
    <w:rsid w:val="49211C3E"/>
    <w:rsid w:val="493354CD"/>
    <w:rsid w:val="49351245"/>
    <w:rsid w:val="49421DD0"/>
    <w:rsid w:val="49465201"/>
    <w:rsid w:val="49494CF1"/>
    <w:rsid w:val="4950590D"/>
    <w:rsid w:val="495105E0"/>
    <w:rsid w:val="495C67D2"/>
    <w:rsid w:val="49634005"/>
    <w:rsid w:val="496833C9"/>
    <w:rsid w:val="496B2C2B"/>
    <w:rsid w:val="49886DB4"/>
    <w:rsid w:val="49970D05"/>
    <w:rsid w:val="49A91C65"/>
    <w:rsid w:val="49AD34D2"/>
    <w:rsid w:val="49BE56DF"/>
    <w:rsid w:val="49CF51F6"/>
    <w:rsid w:val="49E36EF3"/>
    <w:rsid w:val="49FE1F7F"/>
    <w:rsid w:val="4A2F038B"/>
    <w:rsid w:val="4A431F7F"/>
    <w:rsid w:val="4A4F27DB"/>
    <w:rsid w:val="4A565917"/>
    <w:rsid w:val="4A5E47CC"/>
    <w:rsid w:val="4A6F4C2B"/>
    <w:rsid w:val="4A791606"/>
    <w:rsid w:val="4A8E50B1"/>
    <w:rsid w:val="4A9C0758"/>
    <w:rsid w:val="4AA34422"/>
    <w:rsid w:val="4AAA7A11"/>
    <w:rsid w:val="4AB26488"/>
    <w:rsid w:val="4ABF170F"/>
    <w:rsid w:val="4ACC7988"/>
    <w:rsid w:val="4AD30D16"/>
    <w:rsid w:val="4AEA53B9"/>
    <w:rsid w:val="4AF15640"/>
    <w:rsid w:val="4B094738"/>
    <w:rsid w:val="4B1C7C90"/>
    <w:rsid w:val="4B2E6D15"/>
    <w:rsid w:val="4B375749"/>
    <w:rsid w:val="4B50680B"/>
    <w:rsid w:val="4B5A4F93"/>
    <w:rsid w:val="4B5C51AF"/>
    <w:rsid w:val="4B6B71A0"/>
    <w:rsid w:val="4B6D78CD"/>
    <w:rsid w:val="4B884025"/>
    <w:rsid w:val="4B9106E2"/>
    <w:rsid w:val="4BD05255"/>
    <w:rsid w:val="4BE60F1D"/>
    <w:rsid w:val="4BF8453E"/>
    <w:rsid w:val="4C194E4E"/>
    <w:rsid w:val="4C231829"/>
    <w:rsid w:val="4C2630C7"/>
    <w:rsid w:val="4C4579F1"/>
    <w:rsid w:val="4C6E62A3"/>
    <w:rsid w:val="4C742085"/>
    <w:rsid w:val="4CA23096"/>
    <w:rsid w:val="4CA50490"/>
    <w:rsid w:val="4CB608EF"/>
    <w:rsid w:val="4CB84667"/>
    <w:rsid w:val="4CC56D84"/>
    <w:rsid w:val="4CE27936"/>
    <w:rsid w:val="4CEC4311"/>
    <w:rsid w:val="4CFA6A2E"/>
    <w:rsid w:val="4D04165B"/>
    <w:rsid w:val="4D0C050F"/>
    <w:rsid w:val="4D0C6BFE"/>
    <w:rsid w:val="4D0E4287"/>
    <w:rsid w:val="4D185106"/>
    <w:rsid w:val="4D1A2C2C"/>
    <w:rsid w:val="4D1D0636"/>
    <w:rsid w:val="4D5A127B"/>
    <w:rsid w:val="4D77007F"/>
    <w:rsid w:val="4D8207D1"/>
    <w:rsid w:val="4D8C1650"/>
    <w:rsid w:val="4DA30E74"/>
    <w:rsid w:val="4DB27309"/>
    <w:rsid w:val="4DB52955"/>
    <w:rsid w:val="4DBA61BD"/>
    <w:rsid w:val="4DBB3CB6"/>
    <w:rsid w:val="4DC813F1"/>
    <w:rsid w:val="4DCB2178"/>
    <w:rsid w:val="4DEC481B"/>
    <w:rsid w:val="4E165AE9"/>
    <w:rsid w:val="4E7E368F"/>
    <w:rsid w:val="4E8862BB"/>
    <w:rsid w:val="4E922C96"/>
    <w:rsid w:val="4E9702AC"/>
    <w:rsid w:val="4EC30EDE"/>
    <w:rsid w:val="4ECC264C"/>
    <w:rsid w:val="4ECE0172"/>
    <w:rsid w:val="4EF92D15"/>
    <w:rsid w:val="4EFF4E69"/>
    <w:rsid w:val="4F1B2C8C"/>
    <w:rsid w:val="4F1B712F"/>
    <w:rsid w:val="4F2E36A3"/>
    <w:rsid w:val="4F4C6AE6"/>
    <w:rsid w:val="4F544CA2"/>
    <w:rsid w:val="4F5A5BD2"/>
    <w:rsid w:val="4F5A7C58"/>
    <w:rsid w:val="4F624D5E"/>
    <w:rsid w:val="4F7A20A8"/>
    <w:rsid w:val="4F9B0FCB"/>
    <w:rsid w:val="4F9D18F3"/>
    <w:rsid w:val="4FBD1F95"/>
    <w:rsid w:val="4FC357FD"/>
    <w:rsid w:val="4FD07F1A"/>
    <w:rsid w:val="4FD73056"/>
    <w:rsid w:val="4FF5172F"/>
    <w:rsid w:val="4FFA4F97"/>
    <w:rsid w:val="500C2E3A"/>
    <w:rsid w:val="502142D2"/>
    <w:rsid w:val="502C7E07"/>
    <w:rsid w:val="5032028D"/>
    <w:rsid w:val="50586F25"/>
    <w:rsid w:val="50593A6B"/>
    <w:rsid w:val="506A1275"/>
    <w:rsid w:val="5086682B"/>
    <w:rsid w:val="50A35B95"/>
    <w:rsid w:val="50B27620"/>
    <w:rsid w:val="50BB64D4"/>
    <w:rsid w:val="50BD1F39"/>
    <w:rsid w:val="50D43A3A"/>
    <w:rsid w:val="50D50081"/>
    <w:rsid w:val="50E13A61"/>
    <w:rsid w:val="50F10148"/>
    <w:rsid w:val="50FC1EF9"/>
    <w:rsid w:val="51051E45"/>
    <w:rsid w:val="510D1493"/>
    <w:rsid w:val="510F6820"/>
    <w:rsid w:val="511F2F07"/>
    <w:rsid w:val="512027DB"/>
    <w:rsid w:val="5124051D"/>
    <w:rsid w:val="513322A0"/>
    <w:rsid w:val="513B13C3"/>
    <w:rsid w:val="514A5AAA"/>
    <w:rsid w:val="5151508A"/>
    <w:rsid w:val="5167040A"/>
    <w:rsid w:val="516C3C72"/>
    <w:rsid w:val="516D233C"/>
    <w:rsid w:val="516E1798"/>
    <w:rsid w:val="51870AAC"/>
    <w:rsid w:val="5187285A"/>
    <w:rsid w:val="518965D2"/>
    <w:rsid w:val="51B7529F"/>
    <w:rsid w:val="51B80C66"/>
    <w:rsid w:val="51B82A14"/>
    <w:rsid w:val="51BF0246"/>
    <w:rsid w:val="51C63383"/>
    <w:rsid w:val="51C92E73"/>
    <w:rsid w:val="51E30784"/>
    <w:rsid w:val="51EC090F"/>
    <w:rsid w:val="51EF7C55"/>
    <w:rsid w:val="51FD0C55"/>
    <w:rsid w:val="52043EAB"/>
    <w:rsid w:val="5244074B"/>
    <w:rsid w:val="52592449"/>
    <w:rsid w:val="525B1B56"/>
    <w:rsid w:val="525C5A95"/>
    <w:rsid w:val="526B3F2A"/>
    <w:rsid w:val="52843CD5"/>
    <w:rsid w:val="52854FEC"/>
    <w:rsid w:val="528D20F2"/>
    <w:rsid w:val="52A01E26"/>
    <w:rsid w:val="52A86F2C"/>
    <w:rsid w:val="52AF3C79"/>
    <w:rsid w:val="52B256B5"/>
    <w:rsid w:val="52CA50F4"/>
    <w:rsid w:val="52D10166"/>
    <w:rsid w:val="52D852D5"/>
    <w:rsid w:val="52DE46FC"/>
    <w:rsid w:val="52F97788"/>
    <w:rsid w:val="530C03BE"/>
    <w:rsid w:val="530F0D59"/>
    <w:rsid w:val="532076DA"/>
    <w:rsid w:val="535F3A8F"/>
    <w:rsid w:val="536E13A9"/>
    <w:rsid w:val="537E1A3B"/>
    <w:rsid w:val="537F5EDF"/>
    <w:rsid w:val="537F7C8D"/>
    <w:rsid w:val="53966D85"/>
    <w:rsid w:val="53987EBC"/>
    <w:rsid w:val="53A40EB9"/>
    <w:rsid w:val="53C63C53"/>
    <w:rsid w:val="53C66AC7"/>
    <w:rsid w:val="53F561A1"/>
    <w:rsid w:val="53F66196"/>
    <w:rsid w:val="53F71F19"/>
    <w:rsid w:val="53FC471D"/>
    <w:rsid w:val="5406215C"/>
    <w:rsid w:val="5458228C"/>
    <w:rsid w:val="54905ECA"/>
    <w:rsid w:val="549362B3"/>
    <w:rsid w:val="549E0B9F"/>
    <w:rsid w:val="54A6749B"/>
    <w:rsid w:val="54A86D6F"/>
    <w:rsid w:val="54B020C8"/>
    <w:rsid w:val="54B03E76"/>
    <w:rsid w:val="54DD5EE3"/>
    <w:rsid w:val="54EA7388"/>
    <w:rsid w:val="54F40207"/>
    <w:rsid w:val="55052414"/>
    <w:rsid w:val="55256612"/>
    <w:rsid w:val="55393E6B"/>
    <w:rsid w:val="553C395C"/>
    <w:rsid w:val="55456CB4"/>
    <w:rsid w:val="555111B5"/>
    <w:rsid w:val="55524F2D"/>
    <w:rsid w:val="556829A3"/>
    <w:rsid w:val="5579695E"/>
    <w:rsid w:val="557B0928"/>
    <w:rsid w:val="559F4616"/>
    <w:rsid w:val="55A82D9F"/>
    <w:rsid w:val="55BF6A67"/>
    <w:rsid w:val="55CD51E6"/>
    <w:rsid w:val="55D7082B"/>
    <w:rsid w:val="55F81F79"/>
    <w:rsid w:val="56075D18"/>
    <w:rsid w:val="560A5808"/>
    <w:rsid w:val="56141C33"/>
    <w:rsid w:val="562763BA"/>
    <w:rsid w:val="562E7748"/>
    <w:rsid w:val="56336B0D"/>
    <w:rsid w:val="563C1E65"/>
    <w:rsid w:val="565151E5"/>
    <w:rsid w:val="567A0BDF"/>
    <w:rsid w:val="56955A19"/>
    <w:rsid w:val="56B310C2"/>
    <w:rsid w:val="56B45E9F"/>
    <w:rsid w:val="56B62522"/>
    <w:rsid w:val="56D46542"/>
    <w:rsid w:val="56DB78D0"/>
    <w:rsid w:val="56F02C50"/>
    <w:rsid w:val="56FB1D20"/>
    <w:rsid w:val="5705494D"/>
    <w:rsid w:val="570B5583"/>
    <w:rsid w:val="571E5A0F"/>
    <w:rsid w:val="571E77BD"/>
    <w:rsid w:val="57286DB3"/>
    <w:rsid w:val="573C40E7"/>
    <w:rsid w:val="574865E8"/>
    <w:rsid w:val="575431DF"/>
    <w:rsid w:val="577044C9"/>
    <w:rsid w:val="57713D91"/>
    <w:rsid w:val="577B4C0F"/>
    <w:rsid w:val="577E025B"/>
    <w:rsid w:val="57A37CC2"/>
    <w:rsid w:val="57B1418D"/>
    <w:rsid w:val="57B65C47"/>
    <w:rsid w:val="57C53579"/>
    <w:rsid w:val="57D936E4"/>
    <w:rsid w:val="580B1D35"/>
    <w:rsid w:val="58150BC0"/>
    <w:rsid w:val="58220F38"/>
    <w:rsid w:val="58237473"/>
    <w:rsid w:val="5829466B"/>
    <w:rsid w:val="582D2ECA"/>
    <w:rsid w:val="58675193"/>
    <w:rsid w:val="58690F0C"/>
    <w:rsid w:val="588B0E82"/>
    <w:rsid w:val="588E44CE"/>
    <w:rsid w:val="589E62EB"/>
    <w:rsid w:val="58B5571B"/>
    <w:rsid w:val="58C148A4"/>
    <w:rsid w:val="58C52E9E"/>
    <w:rsid w:val="58D06FBA"/>
    <w:rsid w:val="58DD0763"/>
    <w:rsid w:val="590A0F1B"/>
    <w:rsid w:val="5936284C"/>
    <w:rsid w:val="593A4CA4"/>
    <w:rsid w:val="593E5EF4"/>
    <w:rsid w:val="594B23BF"/>
    <w:rsid w:val="59592D2E"/>
    <w:rsid w:val="597436C4"/>
    <w:rsid w:val="59747B68"/>
    <w:rsid w:val="59875AED"/>
    <w:rsid w:val="598D4786"/>
    <w:rsid w:val="599B6EA3"/>
    <w:rsid w:val="59A541C5"/>
    <w:rsid w:val="59AD6BD6"/>
    <w:rsid w:val="59D620C4"/>
    <w:rsid w:val="59EF3692"/>
    <w:rsid w:val="59F4590F"/>
    <w:rsid w:val="5A1D0200"/>
    <w:rsid w:val="5A5359CF"/>
    <w:rsid w:val="5A6558B4"/>
    <w:rsid w:val="5A6B19B6"/>
    <w:rsid w:val="5A6E2809"/>
    <w:rsid w:val="5A76346C"/>
    <w:rsid w:val="5A7C139D"/>
    <w:rsid w:val="5A7C4F26"/>
    <w:rsid w:val="5AB3021C"/>
    <w:rsid w:val="5ABA5A4E"/>
    <w:rsid w:val="5AD05272"/>
    <w:rsid w:val="5AD42692"/>
    <w:rsid w:val="5AE21C8B"/>
    <w:rsid w:val="5AE623A0"/>
    <w:rsid w:val="5AE72A9B"/>
    <w:rsid w:val="5AF80C77"/>
    <w:rsid w:val="5AFD593B"/>
    <w:rsid w:val="5B0A0784"/>
    <w:rsid w:val="5B0D5B7E"/>
    <w:rsid w:val="5B0F5D9A"/>
    <w:rsid w:val="5B2D7FCE"/>
    <w:rsid w:val="5B3651C4"/>
    <w:rsid w:val="5B6773DD"/>
    <w:rsid w:val="5B871DD5"/>
    <w:rsid w:val="5B90055D"/>
    <w:rsid w:val="5B94004E"/>
    <w:rsid w:val="5BC12002"/>
    <w:rsid w:val="5BC56459"/>
    <w:rsid w:val="5BD70683"/>
    <w:rsid w:val="5BD963A8"/>
    <w:rsid w:val="5BDC19F5"/>
    <w:rsid w:val="5BEF1728"/>
    <w:rsid w:val="5BFD2097"/>
    <w:rsid w:val="5C0C4088"/>
    <w:rsid w:val="5C164F06"/>
    <w:rsid w:val="5C1D5CD1"/>
    <w:rsid w:val="5C1E636D"/>
    <w:rsid w:val="5C427AAA"/>
    <w:rsid w:val="5C49779D"/>
    <w:rsid w:val="5C4A2E02"/>
    <w:rsid w:val="5C4C26D6"/>
    <w:rsid w:val="5C533A65"/>
    <w:rsid w:val="5C693288"/>
    <w:rsid w:val="5C6A0DAE"/>
    <w:rsid w:val="5C797243"/>
    <w:rsid w:val="5C950521"/>
    <w:rsid w:val="5CA61CC5"/>
    <w:rsid w:val="5CAA564F"/>
    <w:rsid w:val="5CAD62E8"/>
    <w:rsid w:val="5CCB1749"/>
    <w:rsid w:val="5CCE3A33"/>
    <w:rsid w:val="5CD47089"/>
    <w:rsid w:val="5CDF79EE"/>
    <w:rsid w:val="5CEE60FC"/>
    <w:rsid w:val="5D1319DA"/>
    <w:rsid w:val="5D23755F"/>
    <w:rsid w:val="5D752101"/>
    <w:rsid w:val="5D9A3915"/>
    <w:rsid w:val="5D9A6C20"/>
    <w:rsid w:val="5D9E3405"/>
    <w:rsid w:val="5DAF5613"/>
    <w:rsid w:val="5DB36EA0"/>
    <w:rsid w:val="5DC145E1"/>
    <w:rsid w:val="5DC15346"/>
    <w:rsid w:val="5DCA244C"/>
    <w:rsid w:val="5DCA7D57"/>
    <w:rsid w:val="5DDD2180"/>
    <w:rsid w:val="5DDE7CA6"/>
    <w:rsid w:val="5DF9063C"/>
    <w:rsid w:val="5DF9688E"/>
    <w:rsid w:val="5E070FAB"/>
    <w:rsid w:val="5E14191A"/>
    <w:rsid w:val="5E2C5A66"/>
    <w:rsid w:val="5E3972E5"/>
    <w:rsid w:val="5E3F6694"/>
    <w:rsid w:val="5E457D25"/>
    <w:rsid w:val="5E5341F0"/>
    <w:rsid w:val="5E5D0BCB"/>
    <w:rsid w:val="5E613B0E"/>
    <w:rsid w:val="5E774777"/>
    <w:rsid w:val="5E7A79CF"/>
    <w:rsid w:val="5E875C48"/>
    <w:rsid w:val="5E9D546B"/>
    <w:rsid w:val="5EA20CD3"/>
    <w:rsid w:val="5F142678"/>
    <w:rsid w:val="5F20356F"/>
    <w:rsid w:val="5F2711D9"/>
    <w:rsid w:val="5F342CE9"/>
    <w:rsid w:val="5F487ACD"/>
    <w:rsid w:val="5F492843"/>
    <w:rsid w:val="5F4D5334"/>
    <w:rsid w:val="5F610B8F"/>
    <w:rsid w:val="5F622211"/>
    <w:rsid w:val="5F64242D"/>
    <w:rsid w:val="5F6661A5"/>
    <w:rsid w:val="5F6662FF"/>
    <w:rsid w:val="5F795ED8"/>
    <w:rsid w:val="5F87745E"/>
    <w:rsid w:val="5F9A19AB"/>
    <w:rsid w:val="5FA35296"/>
    <w:rsid w:val="5FA4060C"/>
    <w:rsid w:val="5FCF78A6"/>
    <w:rsid w:val="5FD56E87"/>
    <w:rsid w:val="5FED5F7E"/>
    <w:rsid w:val="6030435D"/>
    <w:rsid w:val="604C7149"/>
    <w:rsid w:val="605D1356"/>
    <w:rsid w:val="60602BF4"/>
    <w:rsid w:val="60634492"/>
    <w:rsid w:val="60714E01"/>
    <w:rsid w:val="608D150F"/>
    <w:rsid w:val="608E59B3"/>
    <w:rsid w:val="6098413C"/>
    <w:rsid w:val="60B42F40"/>
    <w:rsid w:val="60B43F73"/>
    <w:rsid w:val="60D36EB3"/>
    <w:rsid w:val="60E16DC7"/>
    <w:rsid w:val="60E455D3"/>
    <w:rsid w:val="60F875EA"/>
    <w:rsid w:val="6120452A"/>
    <w:rsid w:val="612B4FB0"/>
    <w:rsid w:val="61557096"/>
    <w:rsid w:val="61581B1D"/>
    <w:rsid w:val="617F354E"/>
    <w:rsid w:val="6185437C"/>
    <w:rsid w:val="61954B1F"/>
    <w:rsid w:val="619A1751"/>
    <w:rsid w:val="619F720E"/>
    <w:rsid w:val="61B52ACC"/>
    <w:rsid w:val="61D45A07"/>
    <w:rsid w:val="61E729D2"/>
    <w:rsid w:val="61EB0BE3"/>
    <w:rsid w:val="61FD726F"/>
    <w:rsid w:val="620F042E"/>
    <w:rsid w:val="620F495A"/>
    <w:rsid w:val="622171F9"/>
    <w:rsid w:val="62317338"/>
    <w:rsid w:val="62353C0D"/>
    <w:rsid w:val="623F0B7F"/>
    <w:rsid w:val="62407B32"/>
    <w:rsid w:val="625B6FBC"/>
    <w:rsid w:val="626764BC"/>
    <w:rsid w:val="627209BD"/>
    <w:rsid w:val="627925D2"/>
    <w:rsid w:val="628A3F58"/>
    <w:rsid w:val="62B45479"/>
    <w:rsid w:val="62C46226"/>
    <w:rsid w:val="62C523FB"/>
    <w:rsid w:val="62F13FD7"/>
    <w:rsid w:val="62F51D1A"/>
    <w:rsid w:val="62F56060"/>
    <w:rsid w:val="6300421A"/>
    <w:rsid w:val="63103592"/>
    <w:rsid w:val="63155F18"/>
    <w:rsid w:val="631A6AFE"/>
    <w:rsid w:val="63350368"/>
    <w:rsid w:val="63610329"/>
    <w:rsid w:val="6381535B"/>
    <w:rsid w:val="63846BFA"/>
    <w:rsid w:val="638766EA"/>
    <w:rsid w:val="638E7A78"/>
    <w:rsid w:val="639257BA"/>
    <w:rsid w:val="639860B9"/>
    <w:rsid w:val="63BC45E5"/>
    <w:rsid w:val="63BF40D6"/>
    <w:rsid w:val="63C8712F"/>
    <w:rsid w:val="63C9253A"/>
    <w:rsid w:val="63C94F54"/>
    <w:rsid w:val="63D00091"/>
    <w:rsid w:val="63D95197"/>
    <w:rsid w:val="63DC6A36"/>
    <w:rsid w:val="63F41FD1"/>
    <w:rsid w:val="641E3E83"/>
    <w:rsid w:val="641E79ED"/>
    <w:rsid w:val="64552344"/>
    <w:rsid w:val="646870C7"/>
    <w:rsid w:val="648F14D8"/>
    <w:rsid w:val="64923598"/>
    <w:rsid w:val="64A241DD"/>
    <w:rsid w:val="64BF74AD"/>
    <w:rsid w:val="64DC3A26"/>
    <w:rsid w:val="64DC4BF4"/>
    <w:rsid w:val="64E9765C"/>
    <w:rsid w:val="64EC4A56"/>
    <w:rsid w:val="64F41B5D"/>
    <w:rsid w:val="65053D6A"/>
    <w:rsid w:val="653E3F84"/>
    <w:rsid w:val="655D3BA6"/>
    <w:rsid w:val="655F347A"/>
    <w:rsid w:val="65735178"/>
    <w:rsid w:val="658E1FB1"/>
    <w:rsid w:val="65901886"/>
    <w:rsid w:val="65A6554D"/>
    <w:rsid w:val="65AB796D"/>
    <w:rsid w:val="65C42D57"/>
    <w:rsid w:val="65D26342"/>
    <w:rsid w:val="660404C6"/>
    <w:rsid w:val="660F30F2"/>
    <w:rsid w:val="66206A18"/>
    <w:rsid w:val="662E7EAC"/>
    <w:rsid w:val="66354F05"/>
    <w:rsid w:val="66501015"/>
    <w:rsid w:val="666845B1"/>
    <w:rsid w:val="667C005C"/>
    <w:rsid w:val="66983372"/>
    <w:rsid w:val="66A7157D"/>
    <w:rsid w:val="66AF2C9C"/>
    <w:rsid w:val="66D06D96"/>
    <w:rsid w:val="66D122FD"/>
    <w:rsid w:val="66D1515F"/>
    <w:rsid w:val="66E53E53"/>
    <w:rsid w:val="66E75E1D"/>
    <w:rsid w:val="66F44096"/>
    <w:rsid w:val="66FC791B"/>
    <w:rsid w:val="670A1B0C"/>
    <w:rsid w:val="672C3830"/>
    <w:rsid w:val="672E75A8"/>
    <w:rsid w:val="6746681E"/>
    <w:rsid w:val="675744CF"/>
    <w:rsid w:val="675E59B4"/>
    <w:rsid w:val="676E5BF7"/>
    <w:rsid w:val="67874F0A"/>
    <w:rsid w:val="67AB6E4B"/>
    <w:rsid w:val="67B215EE"/>
    <w:rsid w:val="67CA4DF7"/>
    <w:rsid w:val="67CB102B"/>
    <w:rsid w:val="67D30150"/>
    <w:rsid w:val="67E81E4D"/>
    <w:rsid w:val="67EB4DFC"/>
    <w:rsid w:val="67F34959"/>
    <w:rsid w:val="67F87BB6"/>
    <w:rsid w:val="67FF2CF3"/>
    <w:rsid w:val="681A18DB"/>
    <w:rsid w:val="682269E1"/>
    <w:rsid w:val="682965BB"/>
    <w:rsid w:val="68297D70"/>
    <w:rsid w:val="683A4A13"/>
    <w:rsid w:val="684352D5"/>
    <w:rsid w:val="685F7C35"/>
    <w:rsid w:val="688F22C8"/>
    <w:rsid w:val="689E3B8A"/>
    <w:rsid w:val="689E42BA"/>
    <w:rsid w:val="68B7537B"/>
    <w:rsid w:val="68BF2482"/>
    <w:rsid w:val="68DC4DE2"/>
    <w:rsid w:val="68F44821"/>
    <w:rsid w:val="68F6059A"/>
    <w:rsid w:val="690507DD"/>
    <w:rsid w:val="69132EFA"/>
    <w:rsid w:val="691C78D4"/>
    <w:rsid w:val="692E40F3"/>
    <w:rsid w:val="69362744"/>
    <w:rsid w:val="695452C0"/>
    <w:rsid w:val="69561038"/>
    <w:rsid w:val="69623EDE"/>
    <w:rsid w:val="697D4817"/>
    <w:rsid w:val="699B4C9D"/>
    <w:rsid w:val="69AC0C58"/>
    <w:rsid w:val="69B61AD7"/>
    <w:rsid w:val="69DC778F"/>
    <w:rsid w:val="69F262CB"/>
    <w:rsid w:val="69F85C4B"/>
    <w:rsid w:val="6A184540"/>
    <w:rsid w:val="6A2904FB"/>
    <w:rsid w:val="6A334ED5"/>
    <w:rsid w:val="6A4964A7"/>
    <w:rsid w:val="6A5C61DA"/>
    <w:rsid w:val="6A7D3FB6"/>
    <w:rsid w:val="6AB46016"/>
    <w:rsid w:val="6AB778B5"/>
    <w:rsid w:val="6AC16985"/>
    <w:rsid w:val="6AD9782B"/>
    <w:rsid w:val="6B036F9E"/>
    <w:rsid w:val="6B064398"/>
    <w:rsid w:val="6B133AE7"/>
    <w:rsid w:val="6B170353"/>
    <w:rsid w:val="6B1D5E72"/>
    <w:rsid w:val="6B3453A9"/>
    <w:rsid w:val="6B3E28C1"/>
    <w:rsid w:val="6B476E8A"/>
    <w:rsid w:val="6B4B046E"/>
    <w:rsid w:val="6B4F62C2"/>
    <w:rsid w:val="6B5259F4"/>
    <w:rsid w:val="6B7316A4"/>
    <w:rsid w:val="6B7B2FD8"/>
    <w:rsid w:val="6B7E4C5D"/>
    <w:rsid w:val="6BA53BB1"/>
    <w:rsid w:val="6BBB1626"/>
    <w:rsid w:val="6BCFCE22"/>
    <w:rsid w:val="6C283F43"/>
    <w:rsid w:val="6C335661"/>
    <w:rsid w:val="6C353187"/>
    <w:rsid w:val="6C3A079D"/>
    <w:rsid w:val="6C4433CA"/>
    <w:rsid w:val="6C47110C"/>
    <w:rsid w:val="6C586513"/>
    <w:rsid w:val="6C7B05E2"/>
    <w:rsid w:val="6C830396"/>
    <w:rsid w:val="6C8359F4"/>
    <w:rsid w:val="6CCC3665"/>
    <w:rsid w:val="6CCE0EE6"/>
    <w:rsid w:val="6CE150BD"/>
    <w:rsid w:val="6CE40709"/>
    <w:rsid w:val="6CF941B4"/>
    <w:rsid w:val="6D0A2CBD"/>
    <w:rsid w:val="6D0B14CF"/>
    <w:rsid w:val="6D107750"/>
    <w:rsid w:val="6D1E1E6D"/>
    <w:rsid w:val="6D2531FB"/>
    <w:rsid w:val="6D394EF9"/>
    <w:rsid w:val="6D4318D3"/>
    <w:rsid w:val="6D434595"/>
    <w:rsid w:val="6D6D06FE"/>
    <w:rsid w:val="6D7970A3"/>
    <w:rsid w:val="6D8C327A"/>
    <w:rsid w:val="6D946ECB"/>
    <w:rsid w:val="6D9A691B"/>
    <w:rsid w:val="6D9F3FE9"/>
    <w:rsid w:val="6DB4076A"/>
    <w:rsid w:val="6DB66549"/>
    <w:rsid w:val="6DB77BCC"/>
    <w:rsid w:val="6DC9057F"/>
    <w:rsid w:val="6DC95F17"/>
    <w:rsid w:val="6DD44130"/>
    <w:rsid w:val="6DE36C13"/>
    <w:rsid w:val="6E112D3E"/>
    <w:rsid w:val="6E190503"/>
    <w:rsid w:val="6E261E32"/>
    <w:rsid w:val="6E4B4EE4"/>
    <w:rsid w:val="6E6733A0"/>
    <w:rsid w:val="6E6848B4"/>
    <w:rsid w:val="6E6935BC"/>
    <w:rsid w:val="6E731D44"/>
    <w:rsid w:val="6E8B4A99"/>
    <w:rsid w:val="6E900B48"/>
    <w:rsid w:val="6E985C4F"/>
    <w:rsid w:val="6E9A5523"/>
    <w:rsid w:val="6EAE0FCF"/>
    <w:rsid w:val="6EC727D8"/>
    <w:rsid w:val="6EE804F1"/>
    <w:rsid w:val="6EE80984"/>
    <w:rsid w:val="6F0D3F47"/>
    <w:rsid w:val="6F152DFC"/>
    <w:rsid w:val="6F26325B"/>
    <w:rsid w:val="6F6A75EB"/>
    <w:rsid w:val="6F854280"/>
    <w:rsid w:val="6F865AA7"/>
    <w:rsid w:val="6FB6638D"/>
    <w:rsid w:val="6FB865A9"/>
    <w:rsid w:val="6FC51CA8"/>
    <w:rsid w:val="6FE23626"/>
    <w:rsid w:val="6FE4739E"/>
    <w:rsid w:val="6FFA819D"/>
    <w:rsid w:val="70291255"/>
    <w:rsid w:val="703379DD"/>
    <w:rsid w:val="704E2A69"/>
    <w:rsid w:val="70634617"/>
    <w:rsid w:val="70636969"/>
    <w:rsid w:val="70910BA8"/>
    <w:rsid w:val="709119F6"/>
    <w:rsid w:val="70A408DB"/>
    <w:rsid w:val="70A97C9F"/>
    <w:rsid w:val="70AC5B69"/>
    <w:rsid w:val="70AE1F6A"/>
    <w:rsid w:val="70C366B0"/>
    <w:rsid w:val="70C611A2"/>
    <w:rsid w:val="70D2369A"/>
    <w:rsid w:val="70D80585"/>
    <w:rsid w:val="70E5442F"/>
    <w:rsid w:val="70F058CE"/>
    <w:rsid w:val="70F213F3"/>
    <w:rsid w:val="711D674E"/>
    <w:rsid w:val="712026E3"/>
    <w:rsid w:val="7128150C"/>
    <w:rsid w:val="71397275"/>
    <w:rsid w:val="714F4CEB"/>
    <w:rsid w:val="716122BB"/>
    <w:rsid w:val="716B31A7"/>
    <w:rsid w:val="71A010A2"/>
    <w:rsid w:val="71B24055"/>
    <w:rsid w:val="71BF66FE"/>
    <w:rsid w:val="71F92EA9"/>
    <w:rsid w:val="72071122"/>
    <w:rsid w:val="720A29C0"/>
    <w:rsid w:val="720B63C0"/>
    <w:rsid w:val="72133F6A"/>
    <w:rsid w:val="721B2E1F"/>
    <w:rsid w:val="72213E66"/>
    <w:rsid w:val="72395053"/>
    <w:rsid w:val="724F65E2"/>
    <w:rsid w:val="7275647C"/>
    <w:rsid w:val="727F515C"/>
    <w:rsid w:val="728C1B45"/>
    <w:rsid w:val="728C5ACB"/>
    <w:rsid w:val="72BD3ED6"/>
    <w:rsid w:val="72BF0364"/>
    <w:rsid w:val="72D55F67"/>
    <w:rsid w:val="72F86CBC"/>
    <w:rsid w:val="72FB055A"/>
    <w:rsid w:val="730D6C0C"/>
    <w:rsid w:val="73263829"/>
    <w:rsid w:val="73337CF4"/>
    <w:rsid w:val="7346211D"/>
    <w:rsid w:val="73465C7A"/>
    <w:rsid w:val="73934B26"/>
    <w:rsid w:val="73C3376E"/>
    <w:rsid w:val="73E02686"/>
    <w:rsid w:val="74117B3F"/>
    <w:rsid w:val="74152E80"/>
    <w:rsid w:val="741915E0"/>
    <w:rsid w:val="7423420D"/>
    <w:rsid w:val="74273CFD"/>
    <w:rsid w:val="742862C6"/>
    <w:rsid w:val="742C4E6F"/>
    <w:rsid w:val="7443040B"/>
    <w:rsid w:val="744F272C"/>
    <w:rsid w:val="74552A6A"/>
    <w:rsid w:val="745E64BA"/>
    <w:rsid w:val="746B1DAF"/>
    <w:rsid w:val="746E1B45"/>
    <w:rsid w:val="74736F42"/>
    <w:rsid w:val="74827185"/>
    <w:rsid w:val="748702F8"/>
    <w:rsid w:val="748A428C"/>
    <w:rsid w:val="748F1AFC"/>
    <w:rsid w:val="749D7B1B"/>
    <w:rsid w:val="74AE7F7A"/>
    <w:rsid w:val="74B03CF2"/>
    <w:rsid w:val="74B15375"/>
    <w:rsid w:val="74C06305"/>
    <w:rsid w:val="74C4779E"/>
    <w:rsid w:val="74D215F5"/>
    <w:rsid w:val="74E15338"/>
    <w:rsid w:val="74F6547D"/>
    <w:rsid w:val="750924D8"/>
    <w:rsid w:val="751A116C"/>
    <w:rsid w:val="751D6EAE"/>
    <w:rsid w:val="752E10BB"/>
    <w:rsid w:val="753164B5"/>
    <w:rsid w:val="753A7A60"/>
    <w:rsid w:val="75660855"/>
    <w:rsid w:val="756B7C19"/>
    <w:rsid w:val="75994786"/>
    <w:rsid w:val="759F5B15"/>
    <w:rsid w:val="75B72E5F"/>
    <w:rsid w:val="75CA5F97"/>
    <w:rsid w:val="75D82CCE"/>
    <w:rsid w:val="75E225A7"/>
    <w:rsid w:val="75F06371"/>
    <w:rsid w:val="75FF0362"/>
    <w:rsid w:val="7608190C"/>
    <w:rsid w:val="761756AB"/>
    <w:rsid w:val="762027B2"/>
    <w:rsid w:val="76265996"/>
    <w:rsid w:val="7629262A"/>
    <w:rsid w:val="764C6175"/>
    <w:rsid w:val="765E32DA"/>
    <w:rsid w:val="766360FF"/>
    <w:rsid w:val="7677439C"/>
    <w:rsid w:val="767945B8"/>
    <w:rsid w:val="76830F93"/>
    <w:rsid w:val="76856AB9"/>
    <w:rsid w:val="768763DA"/>
    <w:rsid w:val="768C42EB"/>
    <w:rsid w:val="76BC122C"/>
    <w:rsid w:val="76C415FC"/>
    <w:rsid w:val="76CA6BC2"/>
    <w:rsid w:val="76F61765"/>
    <w:rsid w:val="76F8372F"/>
    <w:rsid w:val="77012625"/>
    <w:rsid w:val="7704694D"/>
    <w:rsid w:val="771542E1"/>
    <w:rsid w:val="77183DD1"/>
    <w:rsid w:val="77194CE2"/>
    <w:rsid w:val="771A5453"/>
    <w:rsid w:val="771B741D"/>
    <w:rsid w:val="772462D2"/>
    <w:rsid w:val="774B1AB0"/>
    <w:rsid w:val="774E15A1"/>
    <w:rsid w:val="775368EB"/>
    <w:rsid w:val="775C3661"/>
    <w:rsid w:val="77701517"/>
    <w:rsid w:val="77871237"/>
    <w:rsid w:val="77911727"/>
    <w:rsid w:val="77974CF6"/>
    <w:rsid w:val="77B8543C"/>
    <w:rsid w:val="77C35AEB"/>
    <w:rsid w:val="77EA18BC"/>
    <w:rsid w:val="77F4117B"/>
    <w:rsid w:val="7808174F"/>
    <w:rsid w:val="780D4FB8"/>
    <w:rsid w:val="78104AA8"/>
    <w:rsid w:val="782D565A"/>
    <w:rsid w:val="783469E8"/>
    <w:rsid w:val="783A38D3"/>
    <w:rsid w:val="783A53EF"/>
    <w:rsid w:val="7840713B"/>
    <w:rsid w:val="786A065C"/>
    <w:rsid w:val="78704DF0"/>
    <w:rsid w:val="788F3C1F"/>
    <w:rsid w:val="78B35B5F"/>
    <w:rsid w:val="78B90C9C"/>
    <w:rsid w:val="78C15F64"/>
    <w:rsid w:val="78CE0BEB"/>
    <w:rsid w:val="78D322D8"/>
    <w:rsid w:val="78EC0CB4"/>
    <w:rsid w:val="790740FD"/>
    <w:rsid w:val="79294073"/>
    <w:rsid w:val="792C3F7A"/>
    <w:rsid w:val="792C5912"/>
    <w:rsid w:val="792F0DD0"/>
    <w:rsid w:val="793F73F3"/>
    <w:rsid w:val="795C2A94"/>
    <w:rsid w:val="797C4DD7"/>
    <w:rsid w:val="799D05BD"/>
    <w:rsid w:val="79A260E7"/>
    <w:rsid w:val="79C3347E"/>
    <w:rsid w:val="79CD2C51"/>
    <w:rsid w:val="79ED50A1"/>
    <w:rsid w:val="79F226B7"/>
    <w:rsid w:val="79F931E1"/>
    <w:rsid w:val="79FC1788"/>
    <w:rsid w:val="7A027492"/>
    <w:rsid w:val="7A0348C4"/>
    <w:rsid w:val="7A1220CC"/>
    <w:rsid w:val="7A2F56B9"/>
    <w:rsid w:val="7A3C3932"/>
    <w:rsid w:val="7A3E58FC"/>
    <w:rsid w:val="7A575F57"/>
    <w:rsid w:val="7A5E5F9F"/>
    <w:rsid w:val="7A7B50B2"/>
    <w:rsid w:val="7A8772A3"/>
    <w:rsid w:val="7A911FEB"/>
    <w:rsid w:val="7AA15E8B"/>
    <w:rsid w:val="7AAD65DE"/>
    <w:rsid w:val="7AB11687"/>
    <w:rsid w:val="7AB931D5"/>
    <w:rsid w:val="7ACF6635"/>
    <w:rsid w:val="7ADB139D"/>
    <w:rsid w:val="7B1EE665"/>
    <w:rsid w:val="7B227565"/>
    <w:rsid w:val="7B2E5971"/>
    <w:rsid w:val="7B2F54B5"/>
    <w:rsid w:val="7B3D7962"/>
    <w:rsid w:val="7B5B24DE"/>
    <w:rsid w:val="7B66335D"/>
    <w:rsid w:val="7B694BFB"/>
    <w:rsid w:val="7B6B0973"/>
    <w:rsid w:val="7B7315D6"/>
    <w:rsid w:val="7B876E2F"/>
    <w:rsid w:val="7B9B0B2D"/>
    <w:rsid w:val="7BA47323"/>
    <w:rsid w:val="7BAB5214"/>
    <w:rsid w:val="7BAF03F7"/>
    <w:rsid w:val="7BBA0FB3"/>
    <w:rsid w:val="7BCB31C0"/>
    <w:rsid w:val="7BCE2CB0"/>
    <w:rsid w:val="7BD858DD"/>
    <w:rsid w:val="7BDA3403"/>
    <w:rsid w:val="7BDD38DF"/>
    <w:rsid w:val="7BEE5100"/>
    <w:rsid w:val="7BF1074D"/>
    <w:rsid w:val="7BF904A3"/>
    <w:rsid w:val="7BFB565B"/>
    <w:rsid w:val="7C180B2E"/>
    <w:rsid w:val="7C1F52BA"/>
    <w:rsid w:val="7C26131F"/>
    <w:rsid w:val="7C2720F2"/>
    <w:rsid w:val="7C35247C"/>
    <w:rsid w:val="7C43714C"/>
    <w:rsid w:val="7C5238E1"/>
    <w:rsid w:val="7C5A4544"/>
    <w:rsid w:val="7C63789C"/>
    <w:rsid w:val="7C9E08D4"/>
    <w:rsid w:val="7CA26617"/>
    <w:rsid w:val="7CB9570E"/>
    <w:rsid w:val="7CCD1A56"/>
    <w:rsid w:val="7CD267D0"/>
    <w:rsid w:val="7CD460A4"/>
    <w:rsid w:val="7CDC31AB"/>
    <w:rsid w:val="7CED7166"/>
    <w:rsid w:val="7D0C3A90"/>
    <w:rsid w:val="7D1D3EEF"/>
    <w:rsid w:val="7D3702E5"/>
    <w:rsid w:val="7D63567A"/>
    <w:rsid w:val="7D755AD9"/>
    <w:rsid w:val="7D880764"/>
    <w:rsid w:val="7D8B70AB"/>
    <w:rsid w:val="7DA22646"/>
    <w:rsid w:val="7DAE4B47"/>
    <w:rsid w:val="7DAE6C72"/>
    <w:rsid w:val="7DB61C4E"/>
    <w:rsid w:val="7DCE51E9"/>
    <w:rsid w:val="7DD81917"/>
    <w:rsid w:val="7DD86068"/>
    <w:rsid w:val="7DDC1500"/>
    <w:rsid w:val="7DDE4768"/>
    <w:rsid w:val="7DF06F0E"/>
    <w:rsid w:val="7DF54524"/>
    <w:rsid w:val="7DFF35F5"/>
    <w:rsid w:val="7E0F7ABB"/>
    <w:rsid w:val="7E3712E7"/>
    <w:rsid w:val="7E505BFE"/>
    <w:rsid w:val="7E53749D"/>
    <w:rsid w:val="7E696CC0"/>
    <w:rsid w:val="7E6B31AE"/>
    <w:rsid w:val="7E6E42D6"/>
    <w:rsid w:val="7E9A331D"/>
    <w:rsid w:val="7EA146AC"/>
    <w:rsid w:val="7EB50157"/>
    <w:rsid w:val="7EB60008"/>
    <w:rsid w:val="7EC42148"/>
    <w:rsid w:val="7ED20D09"/>
    <w:rsid w:val="7EDC30EB"/>
    <w:rsid w:val="7EEF2C4C"/>
    <w:rsid w:val="7EF8136D"/>
    <w:rsid w:val="7EFD0CAB"/>
    <w:rsid w:val="7F0215EE"/>
    <w:rsid w:val="7F0B6E76"/>
    <w:rsid w:val="7F0C421B"/>
    <w:rsid w:val="7F141322"/>
    <w:rsid w:val="7F1B620C"/>
    <w:rsid w:val="7F267F08"/>
    <w:rsid w:val="7F390D88"/>
    <w:rsid w:val="7F3FD8F5"/>
    <w:rsid w:val="7F4642E4"/>
    <w:rsid w:val="7F4F5EB6"/>
    <w:rsid w:val="7F4FF76D"/>
    <w:rsid w:val="7F565B5F"/>
    <w:rsid w:val="7F577294"/>
    <w:rsid w:val="7F7F4E8D"/>
    <w:rsid w:val="7F870019"/>
    <w:rsid w:val="7F89761A"/>
    <w:rsid w:val="7F961D37"/>
    <w:rsid w:val="7FB126CD"/>
    <w:rsid w:val="7FBB6308"/>
    <w:rsid w:val="7FC3027E"/>
    <w:rsid w:val="7FC44AF6"/>
    <w:rsid w:val="7FDB3BED"/>
    <w:rsid w:val="7FDD1714"/>
    <w:rsid w:val="7FDF723A"/>
    <w:rsid w:val="B6DFD99A"/>
    <w:rsid w:val="BF47EA16"/>
    <w:rsid w:val="CFEF73C2"/>
    <w:rsid w:val="E74DD106"/>
    <w:rsid w:val="EAF9AAD5"/>
    <w:rsid w:val="EBFDE926"/>
    <w:rsid w:val="ECDCB5FD"/>
    <w:rsid w:val="EEF79D81"/>
    <w:rsid w:val="FBF59284"/>
    <w:rsid w:val="FD77ADB3"/>
    <w:rsid w:val="FEFDF03F"/>
    <w:rsid w:val="FEFF59ED"/>
    <w:rsid w:val="FF8F13CE"/>
    <w:rsid w:val="FFDADA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tabs>
        <w:tab w:val="left" w:pos="1830"/>
      </w:tabs>
      <w:ind w:left="1830" w:hanging="360"/>
      <w:outlineLvl w:val="0"/>
    </w:pPr>
    <w:rPr>
      <w:rFonts w:ascii="Arial" w:hAnsi="Arial" w:eastAsia="仿宋_GB2312"/>
      <w:sz w:val="28"/>
      <w:szCs w:val="20"/>
      <w:lang w:bidi="he-IL"/>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link w:val="41"/>
    <w:qFormat/>
    <w:uiPriority w:val="0"/>
    <w:pPr>
      <w:spacing w:after="120"/>
    </w:pPr>
  </w:style>
  <w:style w:type="paragraph" w:styleId="6">
    <w:name w:val="Plain Text"/>
    <w:basedOn w:val="1"/>
    <w:qFormat/>
    <w:uiPriority w:val="0"/>
    <w:rPr>
      <w:rFonts w:ascii="宋体" w:hAnsi="Courier New"/>
    </w:rPr>
  </w:style>
  <w:style w:type="paragraph" w:styleId="7">
    <w:name w:val="Balloon Text"/>
    <w:basedOn w:val="1"/>
    <w:link w:val="40"/>
    <w:qFormat/>
    <w:uiPriority w:val="0"/>
    <w:rPr>
      <w:sz w:val="18"/>
      <w:szCs w:val="18"/>
    </w:rPr>
  </w:style>
  <w:style w:type="paragraph" w:styleId="8">
    <w:name w:val="footer"/>
    <w:basedOn w:val="1"/>
    <w:link w:val="53"/>
    <w:qFormat/>
    <w:uiPriority w:val="99"/>
    <w:pPr>
      <w:tabs>
        <w:tab w:val="center" w:pos="4153"/>
        <w:tab w:val="right" w:pos="8306"/>
      </w:tabs>
      <w:snapToGrid w:val="0"/>
      <w:jc w:val="left"/>
    </w:pPr>
    <w:rPr>
      <w:sz w:val="18"/>
      <w:szCs w:val="20"/>
      <w:lang w:bidi="he-IL"/>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1"/>
    <w:next w:val="1"/>
    <w:qFormat/>
    <w:uiPriority w:val="39"/>
    <w:rPr>
      <w:rFonts w:eastAsia="黑体"/>
      <w:sz w:val="28"/>
    </w:rPr>
  </w:style>
  <w:style w:type="paragraph" w:styleId="11">
    <w:name w:val="index 1"/>
    <w:basedOn w:val="1"/>
    <w:next w:val="1"/>
    <w:semiHidden/>
    <w:qFormat/>
    <w:uiPriority w:val="0"/>
    <w:rPr>
      <w:rFonts w:eastAsia="仿宋_GB2312"/>
      <w:b/>
      <w:sz w:val="24"/>
      <w:szCs w:val="20"/>
    </w:rPr>
  </w:style>
  <w:style w:type="paragraph" w:styleId="12">
    <w:name w:val="toc 2"/>
    <w:basedOn w:val="13"/>
    <w:next w:val="13"/>
    <w:qFormat/>
    <w:uiPriority w:val="39"/>
    <w:pPr>
      <w:ind w:left="420"/>
    </w:pPr>
    <w:rPr>
      <w:rFonts w:eastAsia="仿宋_GB2312"/>
      <w:b/>
      <w:sz w:val="24"/>
    </w:rPr>
  </w:style>
  <w:style w:type="paragraph" w:styleId="13">
    <w:name w:val="index 2"/>
    <w:basedOn w:val="1"/>
    <w:next w:val="1"/>
    <w:qFormat/>
    <w:uiPriority w:val="0"/>
    <w:pPr>
      <w:ind w:left="200" w:leftChars="200"/>
    </w:pPr>
    <w:rPr>
      <w:szCs w:val="20"/>
    </w:rPr>
  </w:style>
  <w:style w:type="paragraph" w:styleId="14">
    <w:name w:val="Normal (Web)"/>
    <w:basedOn w:val="1"/>
    <w:qFormat/>
    <w:uiPriority w:val="0"/>
    <w:pPr>
      <w:spacing w:beforeAutospacing="1" w:afterAutospacing="1"/>
      <w:jc w:val="left"/>
    </w:pPr>
    <w:rPr>
      <w:kern w:val="0"/>
      <w:sz w:val="24"/>
    </w:rPr>
  </w:style>
  <w:style w:type="paragraph" w:styleId="15">
    <w:name w:val="Body Text First Indent"/>
    <w:basedOn w:val="5"/>
    <w:link w:val="42"/>
    <w:unhideWhenUsed/>
    <w:qFormat/>
    <w:uiPriority w:val="99"/>
    <w:pPr>
      <w:spacing w:line="400" w:lineRule="atLeast"/>
      <w:ind w:firstLine="426"/>
    </w:pPr>
    <w:rPr>
      <w:sz w:val="24"/>
      <w:szCs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FollowedHyperlink"/>
    <w:basedOn w:val="18"/>
    <w:qFormat/>
    <w:uiPriority w:val="0"/>
    <w:rPr>
      <w:color w:val="800080"/>
      <w:u w:val="none"/>
    </w:rPr>
  </w:style>
  <w:style w:type="character" w:styleId="22">
    <w:name w:val="Emphasis"/>
    <w:basedOn w:val="18"/>
    <w:qFormat/>
    <w:uiPriority w:val="0"/>
    <w:rPr>
      <w:color w:val="CC0000"/>
    </w:rPr>
  </w:style>
  <w:style w:type="character" w:styleId="23">
    <w:name w:val="HTML Definition"/>
    <w:basedOn w:val="18"/>
    <w:qFormat/>
    <w:uiPriority w:val="0"/>
  </w:style>
  <w:style w:type="character" w:styleId="24">
    <w:name w:val="HTML Typewriter"/>
    <w:basedOn w:val="18"/>
    <w:qFormat/>
    <w:uiPriority w:val="0"/>
    <w:rPr>
      <w:rFonts w:hint="default" w:ascii="monospace" w:hAnsi="monospace" w:eastAsia="monospace" w:cs="monospace"/>
      <w:sz w:val="20"/>
    </w:rPr>
  </w:style>
  <w:style w:type="character" w:styleId="25">
    <w:name w:val="HTML Acronym"/>
    <w:basedOn w:val="18"/>
    <w:qFormat/>
    <w:uiPriority w:val="0"/>
  </w:style>
  <w:style w:type="character" w:styleId="26">
    <w:name w:val="HTML Variable"/>
    <w:basedOn w:val="18"/>
    <w:qFormat/>
    <w:uiPriority w:val="0"/>
  </w:style>
  <w:style w:type="character" w:styleId="27">
    <w:name w:val="Hyperlink"/>
    <w:qFormat/>
    <w:uiPriority w:val="99"/>
    <w:rPr>
      <w:color w:val="0000FF"/>
      <w:u w:val="single"/>
    </w:rPr>
  </w:style>
  <w:style w:type="character" w:styleId="28">
    <w:name w:val="HTML Code"/>
    <w:basedOn w:val="18"/>
    <w:qFormat/>
    <w:uiPriority w:val="0"/>
    <w:rPr>
      <w:rFonts w:hint="default" w:ascii="monospace" w:hAnsi="monospace" w:eastAsia="monospace" w:cs="monospace"/>
      <w:sz w:val="20"/>
    </w:rPr>
  </w:style>
  <w:style w:type="character" w:styleId="29">
    <w:name w:val="HTML Cite"/>
    <w:basedOn w:val="18"/>
    <w:qFormat/>
    <w:uiPriority w:val="0"/>
    <w:rPr>
      <w:color w:val="008000"/>
    </w:rPr>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qFormat/>
    <w:uiPriority w:val="0"/>
    <w:rPr>
      <w:rFonts w:ascii="monospace" w:hAnsi="monospace" w:eastAsia="monospace" w:cs="monospace"/>
    </w:rPr>
  </w:style>
  <w:style w:type="paragraph" w:customStyle="1" w:styleId="32">
    <w:name w:val="Default"/>
    <w:qFormat/>
    <w:uiPriority w:val="0"/>
    <w:pPr>
      <w:widowControl w:val="0"/>
      <w:autoSpaceDE w:val="0"/>
      <w:autoSpaceDN w:val="0"/>
      <w:adjustRightInd w:val="0"/>
    </w:pPr>
    <w:rPr>
      <w:rFonts w:ascii=".." w:hAnsi="Times New Roman" w:eastAsia=".." w:cs=".."/>
      <w:color w:val="000000"/>
      <w:sz w:val="24"/>
      <w:szCs w:val="24"/>
      <w:lang w:val="en-US" w:eastAsia="zh-CN" w:bidi="ar-SA"/>
    </w:rPr>
  </w:style>
  <w:style w:type="paragraph" w:customStyle="1" w:styleId="33">
    <w:name w:val="章标题"/>
    <w:basedOn w:val="1"/>
    <w:qFormat/>
    <w:uiPriority w:val="0"/>
    <w:pPr>
      <w:jc w:val="center"/>
    </w:pPr>
    <w:rPr>
      <w:rFonts w:ascii="宋体" w:hAnsi="宋体" w:eastAsia="黑体"/>
      <w:b/>
      <w:sz w:val="28"/>
      <w:szCs w:val="30"/>
    </w:rPr>
  </w:style>
  <w:style w:type="paragraph" w:customStyle="1" w:styleId="34">
    <w:name w:val="GW-正文"/>
    <w:basedOn w:val="1"/>
    <w:qFormat/>
    <w:uiPriority w:val="0"/>
    <w:pPr>
      <w:spacing w:line="360" w:lineRule="auto"/>
      <w:ind w:firstLine="200" w:firstLineChars="200"/>
      <w:contextualSpacing/>
    </w:pPr>
  </w:style>
  <w:style w:type="paragraph" w:customStyle="1" w:styleId="35">
    <w:name w:val="p0"/>
    <w:basedOn w:val="1"/>
    <w:qFormat/>
    <w:uiPriority w:val="0"/>
    <w:pPr>
      <w:widowControl/>
    </w:pPr>
    <w:rPr>
      <w:kern w:val="0"/>
      <w:szCs w:val="21"/>
    </w:rPr>
  </w:style>
  <w:style w:type="paragraph" w:customStyle="1" w:styleId="36">
    <w:name w:val="节标题"/>
    <w:basedOn w:val="1"/>
    <w:qFormat/>
    <w:uiPriority w:val="0"/>
    <w:pPr>
      <w:ind w:firstLine="1928" w:firstLineChars="800"/>
    </w:pPr>
    <w:rPr>
      <w:rFonts w:ascii="宋体" w:hAnsi="宋体" w:cs="Arial"/>
      <w:b/>
    </w:rPr>
  </w:style>
  <w:style w:type="paragraph" w:customStyle="1" w:styleId="37">
    <w:name w:val="D&amp;L"/>
    <w:basedOn w:val="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8">
    <w:name w:val="fontstyle01"/>
    <w:qFormat/>
    <w:uiPriority w:val="0"/>
    <w:rPr>
      <w:rFonts w:hint="eastAsia" w:ascii="宋体" w:hAnsi="宋体" w:eastAsia="宋体"/>
      <w:color w:val="000000"/>
      <w:sz w:val="24"/>
      <w:szCs w:val="24"/>
    </w:rPr>
  </w:style>
  <w:style w:type="character" w:customStyle="1" w:styleId="39">
    <w:name w:val="标题 2 Char"/>
    <w:link w:val="3"/>
    <w:qFormat/>
    <w:uiPriority w:val="0"/>
    <w:rPr>
      <w:rFonts w:ascii="Arial" w:hAnsi="Arial" w:eastAsia="黑体"/>
      <w:b/>
      <w:bCs/>
      <w:sz w:val="32"/>
      <w:szCs w:val="32"/>
    </w:rPr>
  </w:style>
  <w:style w:type="character" w:customStyle="1" w:styleId="40">
    <w:name w:val="批注框文本 Char"/>
    <w:basedOn w:val="18"/>
    <w:link w:val="7"/>
    <w:qFormat/>
    <w:uiPriority w:val="0"/>
    <w:rPr>
      <w:kern w:val="2"/>
      <w:sz w:val="18"/>
      <w:szCs w:val="18"/>
    </w:rPr>
  </w:style>
  <w:style w:type="character" w:customStyle="1" w:styleId="41">
    <w:name w:val="正文文本 Char"/>
    <w:basedOn w:val="18"/>
    <w:link w:val="5"/>
    <w:qFormat/>
    <w:uiPriority w:val="0"/>
    <w:rPr>
      <w:kern w:val="2"/>
      <w:sz w:val="21"/>
      <w:szCs w:val="24"/>
    </w:rPr>
  </w:style>
  <w:style w:type="character" w:customStyle="1" w:styleId="42">
    <w:name w:val="正文首行缩进 Char"/>
    <w:basedOn w:val="41"/>
    <w:link w:val="15"/>
    <w:qFormat/>
    <w:uiPriority w:val="99"/>
    <w:rPr>
      <w:kern w:val="2"/>
      <w:sz w:val="24"/>
      <w:szCs w:val="24"/>
    </w:rPr>
  </w:style>
  <w:style w:type="paragraph" w:customStyle="1" w:styleId="43">
    <w:name w:val="列出段落1"/>
    <w:basedOn w:val="1"/>
    <w:qFormat/>
    <w:uiPriority w:val="34"/>
    <w:pPr>
      <w:ind w:firstLine="420" w:firstLineChars="200"/>
    </w:pPr>
    <w:rPr>
      <w:rFonts w:ascii="Calibri" w:hAnsi="Calibri"/>
      <w:szCs w:val="22"/>
    </w:rPr>
  </w:style>
  <w:style w:type="character" w:customStyle="1" w:styleId="44">
    <w:name w:val="c-icon13"/>
    <w:basedOn w:val="18"/>
    <w:qFormat/>
    <w:uiPriority w:val="0"/>
  </w:style>
  <w:style w:type="character" w:customStyle="1" w:styleId="45">
    <w:name w:val="c-icon14"/>
    <w:basedOn w:val="18"/>
    <w:qFormat/>
    <w:uiPriority w:val="0"/>
  </w:style>
  <w:style w:type="character" w:customStyle="1" w:styleId="46">
    <w:name w:val="hover18"/>
    <w:basedOn w:val="18"/>
    <w:qFormat/>
    <w:uiPriority w:val="0"/>
  </w:style>
  <w:style w:type="character" w:customStyle="1" w:styleId="47">
    <w:name w:val="hover19"/>
    <w:basedOn w:val="18"/>
    <w:qFormat/>
    <w:uiPriority w:val="0"/>
    <w:rPr>
      <w:color w:val="315EFB"/>
    </w:rPr>
  </w:style>
  <w:style w:type="character" w:customStyle="1" w:styleId="48">
    <w:name w:val="c-icon28"/>
    <w:basedOn w:val="18"/>
    <w:qFormat/>
    <w:uiPriority w:val="0"/>
  </w:style>
  <w:style w:type="character" w:customStyle="1" w:styleId="49">
    <w:name w:val="c-icon26"/>
    <w:basedOn w:val="18"/>
    <w:qFormat/>
    <w:uiPriority w:val="0"/>
  </w:style>
  <w:style w:type="paragraph" w:customStyle="1" w:styleId="50">
    <w:name w:val="列出段落2"/>
    <w:basedOn w:val="1"/>
    <w:qFormat/>
    <w:uiPriority w:val="34"/>
    <w:pPr>
      <w:ind w:firstLine="420" w:firstLineChars="200"/>
    </w:pPr>
    <w:rPr>
      <w:kern w:val="0"/>
      <w:sz w:val="20"/>
      <w:szCs w:val="20"/>
    </w:rPr>
  </w:style>
  <w:style w:type="character" w:customStyle="1" w:styleId="51">
    <w:name w:val="font41"/>
    <w:basedOn w:val="18"/>
    <w:qFormat/>
    <w:uiPriority w:val="0"/>
    <w:rPr>
      <w:rFonts w:hint="default" w:ascii="等线" w:hAnsi="等线" w:eastAsia="等线" w:cs="等线"/>
      <w:color w:val="000000"/>
      <w:sz w:val="22"/>
      <w:szCs w:val="22"/>
      <w:u w:val="none"/>
    </w:rPr>
  </w:style>
  <w:style w:type="character" w:customStyle="1" w:styleId="52">
    <w:name w:val="font01"/>
    <w:basedOn w:val="18"/>
    <w:qFormat/>
    <w:uiPriority w:val="0"/>
    <w:rPr>
      <w:rFonts w:ascii="DengXian ( 正文 )" w:hAnsi="DengXian ( 正文 )" w:eastAsia="DengXian ( 正文 )" w:cs="DengXian ( 正文 )"/>
      <w:color w:val="000000"/>
      <w:sz w:val="22"/>
      <w:szCs w:val="22"/>
      <w:u w:val="none"/>
    </w:rPr>
  </w:style>
  <w:style w:type="character" w:customStyle="1" w:styleId="53">
    <w:name w:val="页脚 Char"/>
    <w:link w:val="8"/>
    <w:qFormat/>
    <w:uiPriority w:val="99"/>
    <w:rPr>
      <w:rFonts w:ascii="Times New Roman" w:hAnsi="Times New Roman"/>
      <w:kern w:val="2"/>
      <w:sz w:val="18"/>
      <w:lang w:bidi="he-IL"/>
    </w:rPr>
  </w:style>
  <w:style w:type="paragraph" w:customStyle="1" w:styleId="54">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55">
    <w:name w:val="样式 标题 2 + 宋体 五号 行距: 单倍行距"/>
    <w:basedOn w:val="3"/>
    <w:qFormat/>
    <w:uiPriority w:val="0"/>
    <w:pPr>
      <w:spacing w:line="240" w:lineRule="auto"/>
    </w:pPr>
    <w:rPr>
      <w:rFonts w:ascii="宋体" w:hAnsi="宋体" w:eastAsia="宋体"/>
      <w:sz w:val="21"/>
    </w:rPr>
  </w:style>
  <w:style w:type="character" w:customStyle="1" w:styleId="56">
    <w:name w:val="标题 2 Char1"/>
    <w:link w:val="3"/>
    <w:qFormat/>
    <w:uiPriority w:val="0"/>
    <w:rPr>
      <w:rFonts w:ascii="Arial" w:hAnsi="Arial" w:eastAsia="黑体"/>
      <w:b/>
      <w:bCs/>
      <w:sz w:val="32"/>
      <w:szCs w:val="32"/>
    </w:rPr>
  </w:style>
  <w:style w:type="character" w:customStyle="1" w:styleId="57">
    <w:name w:val="hover5"/>
    <w:basedOn w:val="18"/>
    <w:qFormat/>
    <w:uiPriority w:val="0"/>
    <w:rPr>
      <w:u w:val="single"/>
    </w:rPr>
  </w:style>
  <w:style w:type="character" w:customStyle="1" w:styleId="58">
    <w:name w:val="first-child"/>
    <w:basedOn w:val="18"/>
    <w:qFormat/>
    <w:uiPriority w:val="0"/>
  </w:style>
  <w:style w:type="character" w:customStyle="1" w:styleId="59">
    <w:name w:val="layui-this"/>
    <w:basedOn w:val="18"/>
    <w:qFormat/>
    <w:uiPriority w:val="0"/>
    <w:rPr>
      <w:bdr w:val="single" w:color="EEEEEE" w:sz="6" w:space="0"/>
      <w:shd w:val="clear" w:fill="FFFFFF"/>
    </w:rPr>
  </w:style>
  <w:style w:type="paragraph" w:styleId="60">
    <w:name w:val="List Paragraph"/>
    <w:basedOn w:val="1"/>
    <w:qFormat/>
    <w:uiPriority w:val="1"/>
    <w:pPr>
      <w:ind w:left="741" w:hanging="602"/>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1206</Words>
  <Characters>1250</Characters>
  <Lines>130</Lines>
  <Paragraphs>36</Paragraphs>
  <TotalTime>12</TotalTime>
  <ScaleCrop>false</ScaleCrop>
  <LinksUpToDate>false</LinksUpToDate>
  <CharactersWithSpaces>1293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2020-02-04T00:14:00Z</dcterms:created>
  <dc:creator>Vincent</dc:creator>
  <cp:lastModifiedBy>Star</cp:lastModifiedBy>
  <cp:lastPrinted>2025-12-02T06:34:00Z</cp:lastPrinted>
  <dcterms:modified xsi:type="dcterms:W3CDTF">2026-07-06T08:12:07Z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0F511E2BDBC34DCE9E81EBDA769FEE87_13</vt:lpwstr>
  </property>
  <property fmtid="{D5CDD505-2E9C-101B-9397-08002B2CF9AE}" pid="4" name="KSOTemplateDocerSaveRecord">
    <vt:lpwstr>eyJoZGlkIjoiYTJhYjRhNDQ0YmE0YmY2YjRlNWVlMjA5MGM1MDg3YjMiLCJ1c2VySWQiOiI0NzE1ODkwMDUifQ==</vt:lpwstr>
  </property>
</Properties>
</file>