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color w:val="000000" w:themeColor="text1"/>
          <w:sz w:val="28"/>
          <w:szCs w:val="24"/>
          <w:highlight w:val="none"/>
          <w14:textFill>
            <w14:solidFill>
              <w14:schemeClr w14:val="tx1"/>
            </w14:solidFill>
          </w14:textFill>
        </w:rPr>
      </w:pPr>
    </w:p>
    <w:p w14:paraId="5BA1D98C">
      <w:pPr>
        <w:pStyle w:val="33"/>
        <w:rPr>
          <w:rFonts w:hint="eastAsia"/>
          <w:b/>
          <w:bCs/>
          <w:color w:val="000000" w:themeColor="text1"/>
          <w:sz w:val="28"/>
          <w:szCs w:val="24"/>
          <w:highlight w:val="none"/>
          <w14:textFill>
            <w14:solidFill>
              <w14:schemeClr w14:val="tx1"/>
            </w14:solidFill>
          </w14:textFill>
        </w:rPr>
      </w:pPr>
    </w:p>
    <w:p w14:paraId="18353BDA">
      <w:pPr>
        <w:pStyle w:val="33"/>
        <w:rPr>
          <w:rFonts w:hint="eastAsia"/>
          <w:b/>
          <w:bCs/>
          <w:color w:val="000000" w:themeColor="text1"/>
          <w:sz w:val="28"/>
          <w:szCs w:val="24"/>
          <w:highlight w:val="none"/>
          <w14:textFill>
            <w14:solidFill>
              <w14:schemeClr w14:val="tx1"/>
            </w14:solidFill>
          </w14:textFill>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color w:val="000000" w:themeColor="text1"/>
          <w:sz w:val="28"/>
          <w:szCs w:val="24"/>
          <w:highlight w:val="none"/>
          <w14:textFill>
            <w14:solidFill>
              <w14:schemeClr w14:val="tx1"/>
            </w14:solidFill>
          </w14:textFill>
        </w:rPr>
      </w:pPr>
      <w:r>
        <w:rPr>
          <w:rFonts w:hint="eastAsia"/>
          <w:b/>
          <w:bCs/>
          <w:color w:val="000000" w:themeColor="text1"/>
          <w:sz w:val="28"/>
          <w:szCs w:val="24"/>
          <w:highlight w:val="none"/>
          <w14:textFill>
            <w14:solidFill>
              <w14:schemeClr w14:val="tx1"/>
            </w14:solidFill>
          </w14:textFill>
        </w:rPr>
        <w:t>（</w:t>
      </w:r>
      <w:r>
        <w:rPr>
          <w:rFonts w:hint="eastAsia"/>
          <w:b/>
          <w:bCs/>
          <w:color w:val="000000" w:themeColor="text1"/>
          <w:sz w:val="28"/>
          <w:szCs w:val="24"/>
          <w:highlight w:val="none"/>
          <w:lang w:val="en-US" w:eastAsia="zh-CN"/>
          <w14:textFill>
            <w14:solidFill>
              <w14:schemeClr w14:val="tx1"/>
            </w14:solidFill>
          </w14:textFill>
        </w:rPr>
        <w:t>服务</w:t>
      </w:r>
      <w:r>
        <w:rPr>
          <w:rFonts w:hint="eastAsia"/>
          <w:b/>
          <w:bCs/>
          <w:color w:val="000000" w:themeColor="text1"/>
          <w:sz w:val="28"/>
          <w:szCs w:val="24"/>
          <w:highlight w:val="none"/>
          <w14:textFill>
            <w14:solidFill>
              <w14:schemeClr w14:val="tx1"/>
            </w14:solidFill>
          </w14:textFill>
        </w:rPr>
        <w:t>类）</w:t>
      </w:r>
    </w:p>
    <w:p w14:paraId="3564A8A7">
      <w:pPr>
        <w:pStyle w:val="33"/>
        <w:ind w:firstLine="0"/>
        <w:rPr>
          <w:rFonts w:ascii="仿宋_GB2312" w:eastAsia="仿宋_GB2312"/>
          <w:color w:val="000000" w:themeColor="text1"/>
          <w:sz w:val="28"/>
          <w:szCs w:val="28"/>
          <w:highlight w:val="none"/>
          <w14:textFill>
            <w14:solidFill>
              <w14:schemeClr w14:val="tx1"/>
            </w14:solidFill>
          </w14:textFill>
        </w:rPr>
      </w:pPr>
      <w:bookmarkStart w:id="154" w:name="_GoBack"/>
      <w:bookmarkEnd w:id="154"/>
    </w:p>
    <w:p w14:paraId="55363536">
      <w:pPr>
        <w:tabs>
          <w:tab w:val="left" w:pos="315"/>
          <w:tab w:val="left" w:pos="8820"/>
        </w:tabs>
        <w:spacing w:before="240" w:beforeLines="100" w:after="120" w:afterLines="50" w:line="500" w:lineRule="exact"/>
        <w:ind w:right="267" w:rightChars="127"/>
        <w:jc w:val="center"/>
        <w:rPr>
          <w:rFonts w:ascii="仿宋_GB2312" w:eastAsia="仿宋_GB2312"/>
          <w:color w:val="000000" w:themeColor="text1"/>
          <w:sz w:val="44"/>
          <w:highlight w:val="none"/>
          <w14:textFill>
            <w14:solidFill>
              <w14:schemeClr w14:val="tx1"/>
            </w14:solidFill>
          </w14:textFill>
        </w:rPr>
      </w:pPr>
    </w:p>
    <w:p w14:paraId="423F494C">
      <w:pPr>
        <w:tabs>
          <w:tab w:val="left" w:pos="2410"/>
        </w:tabs>
        <w:autoSpaceDE w:val="0"/>
        <w:autoSpaceDN w:val="0"/>
        <w:adjustRightInd w:val="0"/>
        <w:snapToGrid w:val="0"/>
        <w:spacing w:line="360" w:lineRule="auto"/>
        <w:jc w:val="left"/>
        <w:rPr>
          <w:rFonts w:ascii="宋体" w:hAnsi="DotumChe" w:cs="宋体"/>
          <w:b/>
          <w:color w:val="000000" w:themeColor="text1"/>
          <w:spacing w:val="20"/>
          <w:kern w:val="0"/>
          <w:sz w:val="32"/>
          <w:szCs w:val="32"/>
          <w:highlight w:val="none"/>
          <w14:textFill>
            <w14:solidFill>
              <w14:schemeClr w14:val="tx1"/>
            </w14:solidFill>
          </w14:textFill>
        </w:rPr>
      </w:pPr>
    </w:p>
    <w:p w14:paraId="6298C4A4">
      <w:pPr>
        <w:pStyle w:val="33"/>
        <w:rPr>
          <w:color w:val="000000" w:themeColor="text1"/>
          <w:highlight w:val="none"/>
          <w14:textFill>
            <w14:solidFill>
              <w14:schemeClr w14:val="tx1"/>
            </w14:solidFill>
          </w14:textFill>
        </w:rPr>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6BD5212F">
      <w:pPr>
        <w:tabs>
          <w:tab w:val="left" w:pos="2410"/>
        </w:tabs>
        <w:autoSpaceDE w:val="0"/>
        <w:autoSpaceDN w:val="0"/>
        <w:adjustRightInd w:val="0"/>
        <w:snapToGrid w:val="0"/>
        <w:spacing w:line="600" w:lineRule="exact"/>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color w:val="000000" w:themeColor="text1"/>
          <w:spacing w:val="11"/>
          <w:kern w:val="0"/>
          <w:sz w:val="28"/>
          <w:szCs w:val="28"/>
          <w:highlight w:val="none"/>
          <w14:textFill>
            <w14:solidFill>
              <w14:schemeClr w14:val="tx1"/>
            </w14:solidFill>
          </w14:textFill>
        </w:rPr>
      </w:pPr>
    </w:p>
    <w:p w14:paraId="5A6387D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项目名称：</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六安市叶集区人民医院（六安市第六人民医院）东软64排CT维保服务采购项目</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themeColor="text1"/>
          <w:spacing w:val="11"/>
          <w:kern w:val="0"/>
          <w:sz w:val="28"/>
          <w:szCs w:val="28"/>
          <w:highlight w:val="none"/>
          <w:lang w:val="en-US"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项目编号：</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AHTF-2026050H</w:t>
      </w:r>
    </w:p>
    <w:p w14:paraId="2A936758">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themeColor="text1"/>
          <w:spacing w:val="11"/>
          <w:kern w:val="0"/>
          <w:sz w:val="28"/>
          <w:szCs w:val="28"/>
          <w:highlight w:val="none"/>
          <w:lang w:eastAsia="zh-CN"/>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 购 人：</w:t>
      </w:r>
      <w:r>
        <w:rPr>
          <w:rFonts w:hint="eastAsia" w:ascii="宋体" w:hAnsi="DotumChe" w:cs="宋体"/>
          <w:b/>
          <w:color w:val="000000" w:themeColor="text1"/>
          <w:spacing w:val="11"/>
          <w:kern w:val="0"/>
          <w:sz w:val="28"/>
          <w:szCs w:val="28"/>
          <w:highlight w:val="none"/>
          <w:lang w:eastAsia="zh-CN"/>
          <w14:textFill>
            <w14:solidFill>
              <w14:schemeClr w14:val="tx1"/>
            </w14:solidFill>
          </w14:textFill>
        </w:rPr>
        <w:t>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采购代理机构：</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安徽</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同方</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工程</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咨询</w:t>
      </w:r>
      <w:r>
        <w:rPr>
          <w:rFonts w:hint="eastAsia" w:ascii="宋体" w:hAnsi="DotumChe" w:eastAsia="宋体" w:cs="宋体"/>
          <w:b/>
          <w:color w:val="000000" w:themeColor="text1"/>
          <w:spacing w:val="11"/>
          <w:kern w:val="0"/>
          <w:sz w:val="28"/>
          <w:szCs w:val="28"/>
          <w:highlight w:val="none"/>
          <w14:textFill>
            <w14:solidFill>
              <w14:schemeClr w14:val="tx1"/>
            </w14:solidFill>
          </w14:textFill>
        </w:rPr>
        <w:t>有限公司</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color w:val="000000" w:themeColor="text1"/>
          <w:spacing w:val="11"/>
          <w:kern w:val="0"/>
          <w:sz w:val="28"/>
          <w:szCs w:val="28"/>
          <w:highlight w:val="none"/>
          <w14:textFill>
            <w14:solidFill>
              <w14:schemeClr w14:val="tx1"/>
            </w14:solidFill>
          </w14:textFill>
        </w:rPr>
      </w:pPr>
      <w:r>
        <w:rPr>
          <w:rFonts w:hint="eastAsia" w:ascii="宋体" w:hAnsi="DotumChe" w:cs="宋体"/>
          <w:b/>
          <w:color w:val="000000" w:themeColor="text1"/>
          <w:spacing w:val="11"/>
          <w:kern w:val="0"/>
          <w:sz w:val="28"/>
          <w:szCs w:val="28"/>
          <w:highlight w:val="none"/>
          <w14:textFill>
            <w14:solidFill>
              <w14:schemeClr w14:val="tx1"/>
            </w14:solidFill>
          </w14:textFill>
        </w:rPr>
        <w:t>采购时间：</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2026年9月</w:t>
      </w:r>
      <w:r>
        <w:rPr>
          <w:rFonts w:ascii="宋体" w:hAnsi="DotumChe" w:cs="宋体"/>
          <w:b/>
          <w:color w:val="000000" w:themeColor="text1"/>
          <w:spacing w:val="11"/>
          <w:kern w:val="0"/>
          <w:sz w:val="28"/>
          <w:szCs w:val="28"/>
          <w:highlight w:val="none"/>
          <w14:textFill>
            <w14:solidFill>
              <w14:schemeClr w14:val="tx1"/>
            </w14:solidFill>
          </w14:textFill>
        </w:rPr>
        <w:t xml:space="preserve"> </w:t>
      </w:r>
    </w:p>
    <w:p w14:paraId="572105DC">
      <w:pPr>
        <w:spacing w:line="360" w:lineRule="auto"/>
        <w:rPr>
          <w:color w:val="000000" w:themeColor="text1"/>
          <w:sz w:val="32"/>
          <w:szCs w:val="32"/>
          <w:highlight w:val="none"/>
          <w14:textFill>
            <w14:solidFill>
              <w14:schemeClr w14:val="tx1"/>
            </w14:solidFill>
          </w14:textFill>
        </w:rPr>
      </w:pPr>
    </w:p>
    <w:p w14:paraId="2A4253AF">
      <w:pPr>
        <w:rPr>
          <w:rFonts w:hint="eastAsia" w:ascii="宋体" w:hAnsi="宋体" w:cs="宋体"/>
          <w:b/>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br w:type="page"/>
      </w:r>
    </w:p>
    <w:p w14:paraId="55951719">
      <w:pPr>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目  录</w:t>
      </w:r>
    </w:p>
    <w:p w14:paraId="0516087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"1-3"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_Toc13779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竞争性谈判公告</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PAGEREF _Toc13779 \h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09434C2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_Toc16403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一、供应商须知</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p>
    <w:p w14:paraId="2C1BF079">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_Toc13399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二、采购合同</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5</w:t>
      </w:r>
    </w:p>
    <w:p w14:paraId="454BB9D2">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_Toc20887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14:textFill>
            <w14:solidFill>
              <w14:schemeClr w14:val="tx1"/>
            </w14:solidFill>
          </w14:textFill>
        </w:rPr>
        <w:t>三、采购需求</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6</w:t>
      </w:r>
    </w:p>
    <w:p w14:paraId="1EBBCF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_Toc27329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评审方法</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9</w:t>
      </w:r>
    </w:p>
    <w:p w14:paraId="0F9D18D0">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z w:val="24"/>
          <w:szCs w:val="24"/>
          <w:highlight w:val="none"/>
          <w14:textFill>
            <w14:solidFill>
              <w14:schemeClr w14:val="tx1"/>
            </w14:solidFill>
          </w14:textFill>
        </w:rPr>
        <w:instrText xml:space="preserve"> HYPERLINK \l _Toc17782 </w:instrText>
      </w:r>
      <w:r>
        <w:rPr>
          <w:rFonts w:hint="eastAsia" w:ascii="宋体" w:hAnsi="宋体" w:eastAsia="宋体" w:cs="宋体"/>
          <w:b/>
          <w:bCs/>
          <w:color w:val="000000" w:themeColor="text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、响应文件格式</w:t>
      </w:r>
      <w:r>
        <w:rPr>
          <w:rFonts w:hint="eastAsia" w:ascii="宋体" w:hAnsi="宋体" w:eastAsia="宋体" w:cs="宋体"/>
          <w:b/>
          <w:bCs/>
          <w:color w:val="000000" w:themeColor="text1"/>
          <w:sz w:val="24"/>
          <w:szCs w:val="24"/>
          <w:highlight w:val="none"/>
          <w14:textFill>
            <w14:solidFill>
              <w14:schemeClr w14:val="tx1"/>
            </w14:solidFill>
          </w14:textFill>
        </w:rPr>
        <w:tab/>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lang w:val="en-US" w:eastAsia="zh-CN"/>
          <w14:textFill>
            <w14:solidFill>
              <w14:schemeClr w14:val="tx1"/>
            </w14:solidFill>
          </w14:textFill>
        </w:rPr>
        <w:t>1</w:t>
      </w:r>
    </w:p>
    <w:p w14:paraId="49F21508">
      <w:pPr>
        <w:pStyle w:val="27"/>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p>
    <w:p w14:paraId="338ACA2D">
      <w:pPr>
        <w:pStyle w:val="27"/>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4A8E531">
      <w:pPr>
        <w:pStyle w:val="67"/>
        <w:ind w:firstLine="2923" w:firstLineChars="1040"/>
        <w:rPr>
          <w:color w:val="000000" w:themeColor="text1"/>
          <w:sz w:val="28"/>
          <w:szCs w:val="28"/>
          <w:highlight w:val="none"/>
          <w14:textFill>
            <w14:solidFill>
              <w14:schemeClr w14:val="tx1"/>
            </w14:solidFill>
          </w14:textFill>
        </w:rPr>
      </w:pPr>
      <w:bookmarkStart w:id="0" w:name="_Toc216158623"/>
      <w:bookmarkStart w:id="1" w:name="_Toc363199264"/>
      <w:r>
        <w:rPr>
          <w:rFonts w:hint="eastAsia"/>
          <w:color w:val="000000" w:themeColor="text1"/>
          <w:sz w:val="28"/>
          <w:szCs w:val="28"/>
          <w:highlight w:val="none"/>
          <w14:textFill>
            <w14:solidFill>
              <w14:schemeClr w14:val="tx1"/>
            </w14:solidFill>
          </w14:textFill>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color w:val="000000" w:themeColor="text1"/>
          <w:sz w:val="44"/>
          <w:szCs w:val="44"/>
          <w:highlight w:val="none"/>
          <w14:textFill>
            <w14:solidFill>
              <w14:schemeClr w14:val="tx1"/>
            </w14:solidFill>
          </w14:textFill>
        </w:rPr>
      </w:pPr>
      <w:bookmarkStart w:id="2" w:name="_Toc13779"/>
      <w:bookmarkStart w:id="3" w:name="_Toc30186"/>
      <w:r>
        <w:rPr>
          <w:rFonts w:hint="eastAsia" w:ascii="黑体" w:hAnsi="黑体" w:cs="黑体"/>
          <w:b/>
          <w:bCs w:val="0"/>
          <w:color w:val="000000" w:themeColor="text1"/>
          <w:sz w:val="44"/>
          <w:szCs w:val="44"/>
          <w:highlight w:val="none"/>
          <w:lang w:eastAsia="zh-CN"/>
          <w14:textFill>
            <w14:solidFill>
              <w14:schemeClr w14:val="tx1"/>
            </w14:solidFill>
          </w14:textFill>
        </w:rPr>
        <w:t>六安市叶集区人民医院（六安市第六人民医院）东软64排CT维保服务采购项目</w:t>
      </w:r>
      <w:r>
        <w:rPr>
          <w:rFonts w:hint="eastAsia" w:ascii="黑体" w:hAnsi="黑体" w:eastAsia="黑体" w:cs="黑体"/>
          <w:b/>
          <w:bCs w:val="0"/>
          <w:color w:val="000000" w:themeColor="text1"/>
          <w:sz w:val="44"/>
          <w:szCs w:val="44"/>
          <w:highlight w:val="none"/>
          <w14:textFill>
            <w14:solidFill>
              <w14:schemeClr w14:val="tx1"/>
            </w14:solidFill>
          </w14:textFill>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六安市叶集区人民医院（六安市第六人民医院）东软64排CT维保服务采购项目</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项目编号：AHTF-2026050H</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的潜在供应商应在六安市叶集区人民医院（六安市第六人民医院）（http://www.lasdlrmyy.cn/index.html）官网</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 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日15 时00分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 w:name="_Toc35393798"/>
      <w:bookmarkStart w:id="5" w:name="_Toc32104"/>
      <w:bookmarkStart w:id="6" w:name="_Toc28359089"/>
      <w:bookmarkStart w:id="7" w:name="_Toc35393629"/>
      <w:bookmarkStart w:id="8" w:name="_Toc28359012"/>
      <w:bookmarkStart w:id="9" w:name="_Toc25634"/>
      <w:r>
        <w:rPr>
          <w:rFonts w:hint="eastAsia" w:ascii="黑体" w:hAnsi="黑体" w:cs="黑体"/>
          <w:b w:val="0"/>
          <w:bCs/>
          <w:color w:val="000000" w:themeColor="text1"/>
          <w:sz w:val="28"/>
          <w:szCs w:val="28"/>
          <w:highlight w:val="none"/>
          <w14:textFill>
            <w14:solidFill>
              <w14:schemeClr w14:val="tx1"/>
            </w14:solidFill>
          </w14:textFill>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1、项目编号：</w:t>
      </w:r>
      <w:r>
        <w:rPr>
          <w:rFonts w:hint="eastAsia" w:ascii="仿宋" w:hAnsi="仿宋" w:eastAsia="仿宋" w:cs="仿宋"/>
          <w:color w:val="000000" w:themeColor="text1"/>
          <w:sz w:val="28"/>
          <w:szCs w:val="28"/>
          <w:highlight w:val="none"/>
          <w:lang w:eastAsia="zh-CN"/>
          <w14:textFill>
            <w14:solidFill>
              <w14:schemeClr w14:val="tx1"/>
            </w14:solidFill>
          </w14:textFill>
        </w:rPr>
        <w:t>AHTF-2026050H</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六安市叶集区人民医院（六安市第六人民医院）东软64排CT维保服务采购项目</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3、项目类型：</w:t>
      </w:r>
      <w:r>
        <w:rPr>
          <w:rFonts w:hint="eastAsia" w:ascii="仿宋" w:hAnsi="仿宋" w:eastAsia="仿宋" w:cs="仿宋"/>
          <w:color w:val="000000" w:themeColor="text1"/>
          <w:sz w:val="28"/>
          <w:szCs w:val="28"/>
          <w:highlight w:val="none"/>
          <w:lang w:val="en-US" w:eastAsia="zh-CN"/>
          <w14:textFill>
            <w14:solidFill>
              <w14:schemeClr w14:val="tx1"/>
            </w14:solidFill>
          </w14:textFill>
        </w:rPr>
        <w:t>服务</w:t>
      </w:r>
      <w:r>
        <w:rPr>
          <w:rFonts w:hint="eastAsia" w:ascii="仿宋" w:hAnsi="仿宋" w:eastAsia="仿宋" w:cs="仿宋"/>
          <w:color w:val="000000" w:themeColor="text1"/>
          <w:sz w:val="28"/>
          <w:szCs w:val="28"/>
          <w:highlight w:val="none"/>
          <w14:textFill>
            <w14:solidFill>
              <w14:schemeClr w14:val="tx1"/>
            </w14:solidFill>
          </w14:textFill>
        </w:rPr>
        <w:t>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w:t>
      </w:r>
      <w:r>
        <w:rPr>
          <w:rFonts w:hint="eastAsia" w:ascii="仿宋" w:hAnsi="仿宋" w:eastAsia="仿宋" w:cs="仿宋"/>
          <w:color w:val="000000" w:themeColor="text1"/>
          <w:sz w:val="28"/>
          <w:szCs w:val="28"/>
          <w:highlight w:val="none"/>
          <w:lang w:val="en-US" w:eastAsia="zh-CN"/>
          <w14:textFill>
            <w14:solidFill>
              <w14:schemeClr w14:val="tx1"/>
            </w14:solidFill>
          </w14:textFill>
        </w:rPr>
        <w:t>45万</w:t>
      </w:r>
      <w:r>
        <w:rPr>
          <w:rFonts w:hint="eastAsia" w:ascii="仿宋" w:hAnsi="仿宋" w:eastAsia="仿宋" w:cs="仿宋"/>
          <w:color w:val="000000" w:themeColor="text1"/>
          <w:sz w:val="28"/>
          <w:szCs w:val="28"/>
          <w:highlight w:val="none"/>
          <w14:textFill>
            <w14:solidFill>
              <w14:schemeClr w14:val="tx1"/>
            </w14:solidFill>
          </w14:textFill>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45万</w:t>
      </w:r>
      <w:r>
        <w:rPr>
          <w:rFonts w:hint="eastAsia" w:ascii="仿宋" w:hAnsi="仿宋" w:eastAsia="仿宋" w:cs="仿宋"/>
          <w:color w:val="000000" w:themeColor="text1"/>
          <w:sz w:val="28"/>
          <w:szCs w:val="28"/>
          <w:highlight w:val="none"/>
          <w14:textFill>
            <w14:solidFill>
              <w14:schemeClr w14:val="tx1"/>
            </w14:solidFill>
          </w14:textFill>
        </w:rPr>
        <w:t>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7、采购需求：本次采购为</w:t>
      </w:r>
      <w:r>
        <w:rPr>
          <w:rFonts w:hint="eastAsia" w:ascii="仿宋" w:hAnsi="仿宋" w:eastAsia="仿宋" w:cs="仿宋"/>
          <w:color w:val="000000" w:themeColor="text1"/>
          <w:sz w:val="28"/>
          <w:szCs w:val="28"/>
          <w:highlight w:val="none"/>
          <w:lang w:val="en-US" w:eastAsia="zh-CN"/>
          <w14:textFill>
            <w14:solidFill>
              <w14:schemeClr w14:val="tx1"/>
            </w14:solidFill>
          </w14:textFill>
        </w:rPr>
        <w:t>东软64排CT维保服务，</w:t>
      </w:r>
      <w:r>
        <w:rPr>
          <w:rFonts w:hint="eastAsia" w:ascii="仿宋" w:hAnsi="仿宋" w:eastAsia="仿宋" w:cs="仿宋"/>
          <w:color w:val="000000" w:themeColor="text1"/>
          <w:sz w:val="28"/>
          <w:szCs w:val="28"/>
          <w:highlight w:val="none"/>
          <w14:textFill>
            <w14:solidFill>
              <w14:schemeClr w14:val="tx1"/>
            </w14:solidFill>
          </w14:textFill>
        </w:rPr>
        <w:t>具体详见采购文件。</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8、合同履行期限：合同签订后一年，合同期满后如</w:t>
      </w:r>
      <w:r>
        <w:rPr>
          <w:rFonts w:hint="eastAsia" w:ascii="仿宋" w:hAnsi="仿宋" w:eastAsia="仿宋" w:cs="仿宋"/>
          <w:color w:val="000000" w:themeColor="text1"/>
          <w:sz w:val="28"/>
          <w:szCs w:val="28"/>
          <w:highlight w:val="none"/>
          <w:lang w:val="en-US"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服务质量考核合格，经协商一致可续签合同，合同一年一签，续签不超两年</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0" w:name="_Toc35393630"/>
      <w:bookmarkStart w:id="11" w:name="_Toc5548"/>
      <w:bookmarkStart w:id="12" w:name="_Toc35393799"/>
      <w:bookmarkStart w:id="13" w:name="_Toc28359013"/>
      <w:bookmarkStart w:id="14" w:name="_Toc28359090"/>
      <w:bookmarkStart w:id="15" w:name="_Toc8072"/>
      <w:r>
        <w:rPr>
          <w:rFonts w:hint="eastAsia" w:ascii="黑体" w:hAnsi="黑体" w:cs="黑体"/>
          <w:b w:val="0"/>
          <w:bCs/>
          <w:color w:val="000000" w:themeColor="text1"/>
          <w:sz w:val="28"/>
          <w:szCs w:val="28"/>
          <w:highlight w:val="none"/>
          <w14:textFill>
            <w14:solidFill>
              <w14:schemeClr w14:val="tx1"/>
            </w14:solidFill>
          </w14:textFill>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16" w:name="_Toc28359014"/>
      <w:bookmarkStart w:id="17" w:name="_Toc28359091"/>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2、落实政府采购政策需满足的资格要求</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411E284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3、本项目的特定资格要求：无。</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18" w:name="_Toc15899"/>
      <w:bookmarkStart w:id="19" w:name="_Toc35393631"/>
      <w:bookmarkStart w:id="20" w:name="_Toc35393800"/>
      <w:bookmarkStart w:id="21" w:name="_Toc15371"/>
      <w:r>
        <w:rPr>
          <w:rFonts w:hint="eastAsia" w:ascii="黑体" w:hAnsi="黑体" w:cs="黑体"/>
          <w:b w:val="0"/>
          <w:bCs/>
          <w:color w:val="000000" w:themeColor="text1"/>
          <w:sz w:val="28"/>
          <w:szCs w:val="28"/>
          <w:highlight w:val="none"/>
          <w14:textFill>
            <w14:solidFill>
              <w14:schemeClr w14:val="tx1"/>
            </w14:solidFill>
          </w14:textFill>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bookmarkStart w:id="22" w:name="_Toc28359015"/>
      <w:bookmarkStart w:id="23" w:name="_Toc13207"/>
      <w:bookmarkStart w:id="24" w:name="_Toc35393801"/>
      <w:bookmarkStart w:id="25" w:name="_Toc35393632"/>
      <w:bookmarkStart w:id="26" w:name="_Toc28359092"/>
      <w:bookmarkStart w:id="27" w:name="_Toc1753"/>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4</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4DCAEB48">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2、地点：六安市叶集区人民医院（六安市第六人民医院）（http://www.lasdlrmyy.cn/index.html）官网</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B9814A0">
      <w:pPr>
        <w:pageBreakBefore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3、获取方式：有意向参与本项目的供应商，应在响应截止时间前自行在</w:t>
      </w:r>
      <w:r>
        <w:rPr>
          <w:rFonts w:hint="eastAsia" w:ascii="仿宋" w:hAnsi="仿宋" w:eastAsia="仿宋" w:cs="仿宋"/>
          <w:color w:val="000000" w:themeColor="text1"/>
          <w:sz w:val="28"/>
          <w:szCs w:val="28"/>
          <w:highlight w:val="none"/>
          <w:lang w:val="en-US" w:eastAsia="zh-CN"/>
          <w14:textFill>
            <w14:solidFill>
              <w14:schemeClr w14:val="tx1"/>
            </w14:solidFill>
          </w14:textFill>
        </w:rPr>
        <w:t>本院官网</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color w:val="000000" w:themeColor="text1"/>
          <w:sz w:val="28"/>
          <w:szCs w:val="28"/>
          <w:highlight w:val="none"/>
          <w:lang w:eastAsia="zh-CN"/>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四、响应文件</w:t>
      </w:r>
      <w:bookmarkEnd w:id="22"/>
      <w:bookmarkEnd w:id="23"/>
      <w:bookmarkEnd w:id="24"/>
      <w:bookmarkEnd w:id="25"/>
      <w:bookmarkEnd w:id="26"/>
      <w:bookmarkEnd w:id="27"/>
      <w:r>
        <w:rPr>
          <w:rFonts w:hint="eastAsia" w:ascii="黑体" w:hAnsi="黑体" w:cs="黑体"/>
          <w:b w:val="0"/>
          <w:bCs/>
          <w:color w:val="000000" w:themeColor="text1"/>
          <w:sz w:val="28"/>
          <w:szCs w:val="28"/>
          <w:highlight w:val="none"/>
          <w:lang w:val="en-US" w:eastAsia="zh-CN"/>
          <w14:textFill>
            <w14:solidFill>
              <w14:schemeClr w14:val="tx1"/>
            </w14:solidFill>
          </w14:textFill>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28" w:name="_Toc35393802"/>
      <w:bookmarkStart w:id="29" w:name="_Toc28359093"/>
      <w:bookmarkStart w:id="30" w:name="_Toc2653"/>
      <w:bookmarkStart w:id="31" w:name="_Toc28359016"/>
      <w:bookmarkStart w:id="32" w:name="_Toc35393633"/>
      <w:bookmarkStart w:id="33" w:name="_Toc31128"/>
      <w:r>
        <w:rPr>
          <w:rFonts w:hint="eastAsia" w:ascii="仿宋" w:hAnsi="仿宋" w:eastAsia="仿宋" w:cs="仿宋"/>
          <w:color w:val="000000" w:themeColor="text1"/>
          <w:sz w:val="28"/>
          <w:szCs w:val="28"/>
          <w:highlight w:val="none"/>
          <w14:textFill>
            <w14:solidFill>
              <w14:schemeClr w14:val="tx1"/>
            </w14:solidFill>
          </w14:textFill>
        </w:rPr>
        <w:t>1、截止时间：2026年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日15 时00分</w:t>
      </w:r>
      <w:r>
        <w:rPr>
          <w:rFonts w:hint="eastAsia" w:ascii="仿宋" w:hAnsi="仿宋" w:eastAsia="仿宋" w:cs="仿宋"/>
          <w:bCs/>
          <w:color w:val="000000" w:themeColor="text1"/>
          <w:sz w:val="28"/>
          <w:szCs w:val="28"/>
          <w:highlight w:val="none"/>
          <w14:textFill>
            <w14:solidFill>
              <w14:schemeClr w14:val="tx1"/>
            </w14:solidFill>
          </w14:textFill>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递交</w:t>
      </w:r>
      <w:r>
        <w:rPr>
          <w:rFonts w:hint="eastAsia" w:ascii="仿宋" w:hAnsi="仿宋" w:eastAsia="仿宋" w:cs="仿宋"/>
          <w:color w:val="000000" w:themeColor="text1"/>
          <w:kern w:val="0"/>
          <w:sz w:val="28"/>
          <w:szCs w:val="28"/>
          <w:highlight w:val="none"/>
          <w14:textFill>
            <w14:solidFill>
              <w14:schemeClr w14:val="tx1"/>
            </w14:solidFill>
          </w14:textFill>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u w:val="single"/>
          <w14:textFill>
            <w14:solidFill>
              <w14:schemeClr w14:val="tx1"/>
            </w14:solidFill>
          </w14:textFill>
        </w:rPr>
      </w:pPr>
      <w:bookmarkStart w:id="34" w:name="_Toc15099"/>
      <w:bookmarkStart w:id="35" w:name="_Toc35393803"/>
      <w:bookmarkStart w:id="36" w:name="_Toc25132"/>
      <w:bookmarkStart w:id="37" w:name="_Toc28359017"/>
      <w:bookmarkStart w:id="38" w:name="_Toc35393634"/>
      <w:bookmarkStart w:id="39" w:name="_Toc28359094"/>
      <w:r>
        <w:rPr>
          <w:rFonts w:hint="eastAsia" w:ascii="仿宋" w:hAnsi="仿宋" w:eastAsia="仿宋" w:cs="仿宋"/>
          <w:color w:val="000000" w:themeColor="text1"/>
          <w:sz w:val="28"/>
          <w:szCs w:val="28"/>
          <w:highlight w:val="none"/>
          <w14:textFill>
            <w14:solidFill>
              <w14:schemeClr w14:val="tx1"/>
            </w14:solidFill>
          </w14:textFill>
        </w:rPr>
        <w:t>1、时间：2026年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日15 时00分（北京时间）</w:t>
      </w:r>
    </w:p>
    <w:p w14:paraId="6F55737B">
      <w:pPr>
        <w:pStyle w:val="33"/>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r>
        <w:rPr>
          <w:rFonts w:hint="eastAsia" w:ascii="黑体" w:hAnsi="黑体" w:cs="黑体"/>
          <w:b w:val="0"/>
          <w:bCs/>
          <w:color w:val="000000" w:themeColor="text1"/>
          <w:sz w:val="28"/>
          <w:szCs w:val="28"/>
          <w:highlight w:val="none"/>
          <w14:textFill>
            <w14:solidFill>
              <w14:schemeClr w14:val="tx1"/>
            </w14:solidFill>
          </w14:textFill>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七、</w:t>
      </w:r>
      <w:bookmarkStart w:id="40" w:name="_Toc35393635"/>
      <w:bookmarkStart w:id="41" w:name="_Toc35393804"/>
      <w:r>
        <w:rPr>
          <w:rFonts w:hint="eastAsia" w:ascii="黑体" w:hAnsi="黑体" w:eastAsia="黑体" w:cs="黑体"/>
          <w:color w:val="000000" w:themeColor="text1"/>
          <w:sz w:val="28"/>
          <w:szCs w:val="28"/>
          <w:highlight w:val="none"/>
          <w14:textFill>
            <w14:solidFill>
              <w14:schemeClr w14:val="tx1"/>
            </w14:solidFill>
          </w14:textFill>
        </w:rPr>
        <w:t>其他事宜</w:t>
      </w:r>
      <w:bookmarkEnd w:id="40"/>
      <w:bookmarkEnd w:id="41"/>
      <w:bookmarkStart w:id="42" w:name="_Toc35393805"/>
      <w:bookmarkStart w:id="43" w:name="_Toc28359095"/>
      <w:bookmarkStart w:id="44" w:name="_Toc35393636"/>
      <w:bookmarkStart w:id="45" w:name="_Toc28359018"/>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color w:val="000000" w:themeColor="text1"/>
          <w:sz w:val="28"/>
          <w:szCs w:val="28"/>
          <w:highlight w:val="none"/>
          <w14:textFill>
            <w14:solidFill>
              <w14:schemeClr w14:val="tx1"/>
            </w14:solidFill>
          </w14:textFill>
        </w:rPr>
      </w:pPr>
      <w:bookmarkStart w:id="46" w:name="_Toc726"/>
      <w:bookmarkStart w:id="47" w:name="_Toc21256"/>
      <w:r>
        <w:rPr>
          <w:rFonts w:hint="eastAsia" w:ascii="黑体" w:hAnsi="黑体" w:cs="黑体"/>
          <w:b w:val="0"/>
          <w:bCs/>
          <w:color w:val="000000" w:themeColor="text1"/>
          <w:sz w:val="28"/>
          <w:szCs w:val="28"/>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DD18E76">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bCs/>
          <w:color w:val="000000" w:themeColor="text1"/>
          <w:sz w:val="28"/>
          <w:szCs w:val="28"/>
          <w:highlight w:val="none"/>
          <w14:textFill>
            <w14:solidFill>
              <w14:schemeClr w14:val="tx1"/>
            </w14:solidFill>
          </w14:textFill>
        </w:rPr>
      </w:pPr>
      <w:bookmarkStart w:id="48" w:name="_Toc28359096"/>
      <w:bookmarkStart w:id="49" w:name="_Toc15509"/>
      <w:bookmarkStart w:id="50" w:name="_Toc35393637"/>
      <w:bookmarkStart w:id="51" w:name="_Toc35393806"/>
      <w:bookmarkStart w:id="52" w:name="_Toc28359019"/>
      <w:bookmarkStart w:id="53" w:name="_Toc12167"/>
      <w:r>
        <w:rPr>
          <w:rFonts w:hint="eastAsia" w:ascii="仿宋" w:hAnsi="仿宋" w:eastAsia="仿宋" w:cs="仿宋"/>
          <w:bCs/>
          <w:color w:val="000000" w:themeColor="text1"/>
          <w:sz w:val="28"/>
          <w:szCs w:val="28"/>
          <w:highlight w:val="none"/>
          <w14:textFill>
            <w14:solidFill>
              <w14:schemeClr w14:val="tx1"/>
            </w14:solidFill>
          </w14:textFill>
        </w:rPr>
        <w:t>1、采购人信息</w:t>
      </w:r>
      <w:bookmarkEnd w:id="48"/>
      <w:bookmarkEnd w:id="49"/>
      <w:bookmarkEnd w:id="50"/>
      <w:bookmarkEnd w:id="51"/>
      <w:bookmarkEnd w:id="52"/>
      <w:bookmarkEnd w:id="53"/>
    </w:p>
    <w:p w14:paraId="3069FBC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六安市叶集区人民医院(六安市第六人民医院)</w:t>
      </w:r>
    </w:p>
    <w:p w14:paraId="25A1AC9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址：六安市叶集区兴叶大道与民强北路交叉口</w:t>
      </w:r>
    </w:p>
    <w:p w14:paraId="0BF46DC3">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54" w:name="_Toc28359020"/>
      <w:bookmarkStart w:id="55" w:name="_Toc35393807"/>
      <w:bookmarkStart w:id="56" w:name="_Toc35393638"/>
      <w:bookmarkStart w:id="57" w:name="_Toc28359097"/>
      <w:r>
        <w:rPr>
          <w:rFonts w:hint="eastAsia" w:ascii="仿宋" w:hAnsi="仿宋" w:eastAsia="仿宋" w:cs="仿宋"/>
          <w:bCs/>
          <w:color w:val="000000" w:themeColor="text1"/>
          <w:sz w:val="28"/>
          <w:szCs w:val="28"/>
          <w:highlight w:val="none"/>
          <w14:textFill>
            <w14:solidFill>
              <w14:schemeClr w14:val="tx1"/>
            </w14:solidFill>
          </w14:textFill>
        </w:rPr>
        <w:t>0564-6488025</w:t>
      </w:r>
    </w:p>
    <w:p w14:paraId="4C3CCBBA">
      <w:pPr>
        <w:pageBreakBefore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采购代理机构信息</w:t>
      </w:r>
      <w:bookmarkEnd w:id="54"/>
      <w:bookmarkEnd w:id="55"/>
      <w:bookmarkEnd w:id="56"/>
      <w:bookmarkEnd w:id="57"/>
      <w:bookmarkStart w:id="58" w:name="_Toc35393808"/>
      <w:bookmarkStart w:id="59" w:name="_Toc28359021"/>
      <w:bookmarkStart w:id="60" w:name="_Toc28359098"/>
      <w:bookmarkStart w:id="61" w:name="_Toc35393639"/>
    </w:p>
    <w:p w14:paraId="7F39B70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称：安徽同方工程咨询有限公司</w:t>
      </w:r>
    </w:p>
    <w:p w14:paraId="60B875D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址：六安市东城路上东阳光城6号楼5楼</w:t>
      </w:r>
    </w:p>
    <w:p w14:paraId="39E61595">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联系方式：0564-3284233</w:t>
      </w:r>
    </w:p>
    <w:p w14:paraId="3A9ED3B1">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bookmarkEnd w:id="58"/>
      <w:bookmarkEnd w:id="59"/>
      <w:bookmarkEnd w:id="60"/>
      <w:bookmarkEnd w:id="61"/>
    </w:p>
    <w:p w14:paraId="0109BC3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项目联系人：胡工</w:t>
      </w:r>
    </w:p>
    <w:p w14:paraId="5B384410">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话：0564-3284233</w:t>
      </w:r>
    </w:p>
    <w:p w14:paraId="5F8FC1CB">
      <w:pPr>
        <w:pageBreakBefore w:val="0"/>
        <w:kinsoku/>
        <w:wordWrap/>
        <w:overflowPunct/>
        <w:topLinePunct w:val="0"/>
        <w:autoSpaceDE/>
        <w:autoSpaceDN/>
        <w:bidi w:val="0"/>
        <w:snapToGrid/>
        <w:spacing w:line="360" w:lineRule="auto"/>
        <w:jc w:val="righ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4</w:t>
      </w:r>
      <w:r>
        <w:rPr>
          <w:rFonts w:hint="eastAsia" w:ascii="仿宋" w:hAnsi="仿宋" w:eastAsia="仿宋" w:cs="仿宋"/>
          <w:bCs/>
          <w:color w:val="000000" w:themeColor="text1"/>
          <w:sz w:val="28"/>
          <w:szCs w:val="28"/>
          <w:highlight w:val="none"/>
          <w14:textFill>
            <w14:solidFill>
              <w14:schemeClr w14:val="tx1"/>
            </w14:solidFill>
          </w14:textFill>
        </w:rPr>
        <w:t>日</w:t>
      </w:r>
    </w:p>
    <w:p w14:paraId="2EE68A42">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51E0C6D2">
      <w:pPr>
        <w:pStyle w:val="3"/>
        <w:spacing w:before="120" w:beforeLines="50" w:after="120" w:afterLines="5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62" w:name="_Toc16403"/>
      <w:r>
        <w:rPr>
          <w:rFonts w:hint="eastAsia" w:ascii="宋体" w:hAnsi="宋体" w:eastAsia="宋体" w:cs="宋体"/>
          <w:color w:val="000000" w:themeColor="text1"/>
          <w:sz w:val="28"/>
          <w:szCs w:val="28"/>
          <w:highlight w:val="none"/>
          <w14:textFill>
            <w14:solidFill>
              <w14:schemeClr w14:val="tx1"/>
            </w14:solidFill>
          </w14:textFill>
        </w:rPr>
        <w:t>一、供应商须知</w:t>
      </w:r>
      <w:bookmarkEnd w:id="0"/>
      <w:bookmarkEnd w:id="1"/>
      <w:bookmarkEnd w:id="62"/>
    </w:p>
    <w:p w14:paraId="739E1C7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63" w:name="_Toc13653"/>
      <w:r>
        <w:rPr>
          <w:rFonts w:hint="eastAsia" w:ascii="宋体" w:hAnsi="宋体" w:eastAsia="宋体" w:cs="宋体"/>
          <w:color w:val="000000" w:themeColor="text1"/>
          <w:sz w:val="24"/>
          <w:szCs w:val="24"/>
          <w:highlight w:val="none"/>
          <w14:textFill>
            <w14:solidFill>
              <w14:schemeClr w14:val="tx1"/>
            </w14:solidFill>
          </w14:textFill>
        </w:rPr>
        <w:t>（一）须知前附表</w:t>
      </w:r>
      <w:bookmarkEnd w:id="63"/>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color w:val="000000" w:themeColor="text1"/>
                <w:sz w:val="24"/>
                <w:szCs w:val="24"/>
                <w:highlight w:val="none"/>
                <w14:textFill>
                  <w14:solidFill>
                    <w14:schemeClr w14:val="tx1"/>
                  </w14:solidFill>
                </w14:textFill>
              </w:rPr>
            </w:pPr>
            <w:bookmarkStart w:id="64" w:name="_Toc216158627"/>
            <w:bookmarkStart w:id="65" w:name="_Toc363199267"/>
            <w:bookmarkStart w:id="66" w:name="_Toc438107743"/>
            <w:r>
              <w:rPr>
                <w:rFonts w:hint="eastAsia" w:ascii="宋体" w:hAnsi="宋体"/>
                <w:b/>
                <w:color w:val="000000" w:themeColor="text1"/>
                <w:sz w:val="24"/>
                <w:szCs w:val="24"/>
                <w:highlight w:val="none"/>
                <w14:textFill>
                  <w14:solidFill>
                    <w14:schemeClr w14:val="tx1"/>
                  </w14:solidFill>
                </w14:textFill>
              </w:rPr>
              <w:t>序号</w:t>
            </w:r>
          </w:p>
        </w:tc>
        <w:tc>
          <w:tcPr>
            <w:tcW w:w="1502" w:type="dxa"/>
            <w:vAlign w:val="center"/>
          </w:tcPr>
          <w:p w14:paraId="45859D91">
            <w:pPr>
              <w:spacing w:line="44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7308" w:type="dxa"/>
            <w:vAlign w:val="center"/>
          </w:tcPr>
          <w:p w14:paraId="6E242F32">
            <w:pPr>
              <w:pStyle w:val="100"/>
              <w:widowControl w:val="0"/>
              <w:spacing w:before="0" w:beforeAutospacing="0" w:after="0" w:afterAutospacing="0" w:line="44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1</w:t>
            </w:r>
          </w:p>
        </w:tc>
        <w:tc>
          <w:tcPr>
            <w:tcW w:w="1502" w:type="dxa"/>
            <w:vAlign w:val="center"/>
          </w:tcPr>
          <w:p w14:paraId="70C7D3F8">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7308" w:type="dxa"/>
            <w:vAlign w:val="center"/>
          </w:tcPr>
          <w:p w14:paraId="29218382">
            <w:pPr>
              <w:spacing w:line="440" w:lineRule="exac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2</w:t>
            </w:r>
          </w:p>
        </w:tc>
        <w:tc>
          <w:tcPr>
            <w:tcW w:w="1502" w:type="dxa"/>
            <w:vAlign w:val="center"/>
          </w:tcPr>
          <w:p w14:paraId="6BED2431">
            <w:pPr>
              <w:spacing w:line="44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7308" w:type="dxa"/>
            <w:vAlign w:val="center"/>
          </w:tcPr>
          <w:p w14:paraId="2AA8569A">
            <w:pPr>
              <w:spacing w:line="44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名称：安徽同方工程咨询有限公司</w:t>
            </w:r>
          </w:p>
          <w:p w14:paraId="11D7ED11">
            <w:pPr>
              <w:spacing w:line="44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地址：六安市东城路上东阳光城6号楼5楼</w:t>
            </w:r>
            <w:r>
              <w:rPr>
                <w:b/>
                <w:bCs/>
                <w:color w:val="000000" w:themeColor="text1"/>
                <w:sz w:val="24"/>
                <w:szCs w:val="24"/>
                <w:highlight w:val="none"/>
                <w14:textFill>
                  <w14:solidFill>
                    <w14:schemeClr w14:val="tx1"/>
                  </w14:solidFill>
                </w14:textFill>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3</w:t>
            </w:r>
          </w:p>
        </w:tc>
        <w:tc>
          <w:tcPr>
            <w:tcW w:w="1502" w:type="dxa"/>
            <w:vAlign w:val="center"/>
          </w:tcPr>
          <w:p w14:paraId="6133405A">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谈判有效期</w:t>
            </w:r>
          </w:p>
        </w:tc>
        <w:tc>
          <w:tcPr>
            <w:tcW w:w="7308" w:type="dxa"/>
            <w:vAlign w:val="center"/>
          </w:tcPr>
          <w:p w14:paraId="396AEEDC">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4</w:t>
            </w:r>
          </w:p>
        </w:tc>
        <w:tc>
          <w:tcPr>
            <w:tcW w:w="1502" w:type="dxa"/>
            <w:vAlign w:val="center"/>
          </w:tcPr>
          <w:p w14:paraId="502F3BF3">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7308" w:type="dxa"/>
            <w:vAlign w:val="center"/>
          </w:tcPr>
          <w:p w14:paraId="7E1E5316">
            <w:pPr>
              <w:pStyle w:val="100"/>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服务</w:t>
            </w:r>
            <w:r>
              <w:rPr>
                <w:rFonts w:hint="eastAsia"/>
                <w:b w:val="0"/>
                <w:bCs w:val="0"/>
                <w:color w:val="000000" w:themeColor="text1"/>
                <w:sz w:val="24"/>
                <w:szCs w:val="24"/>
                <w:highlight w:val="none"/>
                <w14:textFill>
                  <w14:solidFill>
                    <w14:schemeClr w14:val="tx1"/>
                  </w14:solidFill>
                </w14:textFill>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5</w:t>
            </w:r>
          </w:p>
        </w:tc>
        <w:tc>
          <w:tcPr>
            <w:tcW w:w="1502" w:type="dxa"/>
            <w:vAlign w:val="center"/>
          </w:tcPr>
          <w:p w14:paraId="73CD258D">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p>
        </w:tc>
        <w:tc>
          <w:tcPr>
            <w:tcW w:w="7308" w:type="dxa"/>
            <w:vAlign w:val="center"/>
          </w:tcPr>
          <w:p w14:paraId="08C62597">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六安市叶集区人民医院（六安市第六人民医院）东软64排CT维保服务采购项目</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6</w:t>
            </w:r>
          </w:p>
        </w:tc>
        <w:tc>
          <w:tcPr>
            <w:tcW w:w="1502" w:type="dxa"/>
            <w:vAlign w:val="center"/>
          </w:tcPr>
          <w:p w14:paraId="064FDA3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p>
        </w:tc>
        <w:tc>
          <w:tcPr>
            <w:tcW w:w="7308" w:type="dxa"/>
            <w:vAlign w:val="center"/>
          </w:tcPr>
          <w:p w14:paraId="6000D3CD">
            <w:pPr>
              <w:pStyle w:val="100"/>
              <w:widowControl w:val="0"/>
              <w:spacing w:before="0" w:beforeAutospacing="0" w:after="0" w:afterAutospacing="0" w:line="440" w:lineRule="exact"/>
              <w:jc w:val="both"/>
              <w:rPr>
                <w:rFonts w:hint="eastAsia" w:eastAsia="宋体"/>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highlight w:val="none"/>
                <w:lang w:eastAsia="zh-CN"/>
                <w14:textFill>
                  <w14:solidFill>
                    <w14:schemeClr w14:val="tx1"/>
                  </w14:solidFill>
                </w14:textFill>
              </w:rPr>
              <w:t>AHTF-2026050H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r>
              <w:rPr>
                <w:rFonts w:hint="eastAsia" w:ascii="宋体" w:hAnsi="宋体"/>
                <w:b/>
                <w:color w:val="000000" w:themeColor="text1"/>
                <w:kern w:val="2"/>
                <w:szCs w:val="24"/>
                <w:highlight w:val="none"/>
                <w14:textFill>
                  <w14:solidFill>
                    <w14:schemeClr w14:val="tx1"/>
                  </w14:solidFill>
                </w14:textFill>
              </w:rPr>
              <w:t>7</w:t>
            </w:r>
          </w:p>
        </w:tc>
        <w:tc>
          <w:tcPr>
            <w:tcW w:w="1502" w:type="dxa"/>
            <w:vAlign w:val="center"/>
          </w:tcPr>
          <w:p w14:paraId="5B902C6C">
            <w:pPr>
              <w:spacing w:line="44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付款方式</w:t>
            </w:r>
          </w:p>
        </w:tc>
        <w:tc>
          <w:tcPr>
            <w:tcW w:w="7308" w:type="dxa"/>
            <w:vAlign w:val="center"/>
          </w:tcPr>
          <w:p w14:paraId="35101EF3">
            <w:pPr>
              <w:pStyle w:val="100"/>
              <w:widowControl w:val="0"/>
              <w:spacing w:before="0" w:beforeAutospacing="0" w:after="0" w:afterAutospacing="0" w:line="440" w:lineRule="exact"/>
              <w:ind w:firstLine="480" w:firstLineChars="200"/>
              <w:jc w:val="both"/>
              <w:rPr>
                <w:rFonts w:hint="eastAsia" w:cs="宋体"/>
                <w:b w:val="0"/>
                <w:bCs w:val="0"/>
                <w:color w:val="000000" w:themeColor="text1"/>
                <w:sz w:val="24"/>
                <w:szCs w:val="24"/>
                <w:highlight w:val="none"/>
                <w14:textFill>
                  <w14:solidFill>
                    <w14:schemeClr w14:val="tx1"/>
                  </w14:solidFill>
                </w14:textFill>
              </w:rPr>
            </w:pPr>
            <w:r>
              <w:rPr>
                <w:rFonts w:hint="eastAsia" w:cs="宋体"/>
                <w:b w:val="0"/>
                <w:bCs w:val="0"/>
                <w:color w:val="000000" w:themeColor="text1"/>
                <w:sz w:val="24"/>
                <w:szCs w:val="24"/>
                <w:highlight w:val="none"/>
                <w:lang w:val="en-US" w:eastAsia="zh-CN"/>
                <w14:textFill>
                  <w14:solidFill>
                    <w14:schemeClr w14:val="tx1"/>
                  </w14:solidFill>
                </w14:textFill>
              </w:rPr>
              <w:t>服务期满，经采购人最终验收合格后，进行合同价款结算。</w:t>
            </w:r>
          </w:p>
          <w:p w14:paraId="79575B29">
            <w:pPr>
              <w:pStyle w:val="100"/>
              <w:widowControl w:val="0"/>
              <w:spacing w:before="0" w:beforeAutospacing="0" w:after="0" w:afterAutospacing="0" w:line="440" w:lineRule="exact"/>
              <w:ind w:firstLine="482" w:firstLineChars="200"/>
              <w:jc w:val="both"/>
              <w:rPr>
                <w:rFonts w:ascii="黑体" w:hAnsi="黑体" w:eastAsia="黑体" w:cs="黑体"/>
                <w:b w:val="0"/>
                <w:bCs w:val="0"/>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（供应商提交的响应文件中如有关于付款条件的表述与谈判文件规定不符，将被视为实质性不响应，将导致响应无效）</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8E5B3E5">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8</w:t>
            </w:r>
          </w:p>
        </w:tc>
        <w:tc>
          <w:tcPr>
            <w:tcW w:w="1502" w:type="dxa"/>
            <w:vAlign w:val="center"/>
          </w:tcPr>
          <w:p w14:paraId="22F4F904">
            <w:pPr>
              <w:spacing w:line="440" w:lineRule="exact"/>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default" w:ascii="宋体" w:hAnsi="宋体" w:eastAsia="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lang w:val="en-US" w:eastAsia="zh-CN"/>
                <w14:textFill>
                  <w14:solidFill>
                    <w14:schemeClr w14:val="tx1"/>
                  </w14:solidFill>
                </w14:textFill>
              </w:rPr>
              <w:t>期限</w:t>
            </w:r>
          </w:p>
        </w:tc>
        <w:tc>
          <w:tcPr>
            <w:tcW w:w="7308" w:type="dxa"/>
            <w:vAlign w:val="center"/>
          </w:tcPr>
          <w:p w14:paraId="69F28ABD">
            <w:pPr>
              <w:pStyle w:val="100"/>
              <w:widowControl w:val="0"/>
              <w:spacing w:before="0" w:beforeAutospacing="0" w:after="0" w:afterAutospacing="0" w:line="440" w:lineRule="exact"/>
              <w:ind w:firstLine="480" w:firstLineChars="200"/>
              <w:jc w:val="both"/>
              <w:rPr>
                <w:rFonts w:hint="default"/>
                <w:b/>
                <w:bCs/>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合同签订后一年，合同期满后如供应商服务质量考核合格，经协商一致可续签合同，合同一年一签，续签不超两年。</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9</w:t>
            </w:r>
          </w:p>
        </w:tc>
        <w:tc>
          <w:tcPr>
            <w:tcW w:w="1502" w:type="dxa"/>
            <w:vAlign w:val="center"/>
          </w:tcPr>
          <w:p w14:paraId="1A052CAF">
            <w:pPr>
              <w:pStyle w:val="98"/>
              <w:pBdr>
                <w:bottom w:val="none" w:color="auto" w:sz="0" w:space="0"/>
              </w:pBdr>
              <w:tabs>
                <w:tab w:val="clear" w:pos="4153"/>
                <w:tab w:val="clear" w:pos="8306"/>
              </w:tabs>
              <w:adjustRightInd/>
              <w:spacing w:line="440" w:lineRule="exact"/>
              <w:textAlignment w:val="auto"/>
              <w:rPr>
                <w:rFonts w:ascii="宋体" w:hAnsi="宋体"/>
                <w:color w:val="000000" w:themeColor="text1"/>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代理</w:t>
            </w:r>
            <w:r>
              <w:rPr>
                <w:rFonts w:hint="eastAsia" w:ascii="宋体" w:hAnsi="宋体"/>
                <w:bCs/>
                <w:color w:val="000000" w:themeColor="text1"/>
                <w:kern w:val="2"/>
                <w:szCs w:val="24"/>
                <w:highlight w:val="none"/>
                <w14:textFill>
                  <w14:solidFill>
                    <w14:schemeClr w14:val="tx1"/>
                  </w14:solidFill>
                </w14:textFill>
              </w:rPr>
              <w:t>服务费</w:t>
            </w:r>
          </w:p>
        </w:tc>
        <w:tc>
          <w:tcPr>
            <w:tcW w:w="7308" w:type="dxa"/>
            <w:vAlign w:val="center"/>
          </w:tcPr>
          <w:p w14:paraId="0AC883A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1、支付方</w:t>
            </w:r>
            <w:r>
              <w:rPr>
                <w:rFonts w:hint="eastAsia" w:ascii="宋体" w:hAnsi="宋体" w:cs="宋体"/>
                <w:color w:val="000000" w:themeColor="text1"/>
                <w:sz w:val="24"/>
                <w:highlight w:val="none"/>
                <w14:textFill>
                  <w14:solidFill>
                    <w14:schemeClr w14:val="tx1"/>
                  </w14:solidFill>
                </w14:textFill>
              </w:rPr>
              <w:t xml:space="preserve">：□采购人 </w:t>
            </w:r>
            <w:r>
              <w:rPr>
                <w:rFonts w:hint="eastAsia" w:ascii="宋体" w:hAnsi="宋体" w:cs="宋体"/>
                <w:b w:val="0"/>
                <w:bCs w:val="0"/>
                <w:color w:val="000000" w:themeColor="text1"/>
                <w:sz w:val="24"/>
                <w:highlight w:val="none"/>
                <w14:textFill>
                  <w14:solidFill>
                    <w14:schemeClr w14:val="tx1"/>
                  </w14:solidFill>
                </w14:textFill>
              </w:rPr>
              <w:t xml:space="preserve"> ☑</w:t>
            </w:r>
            <w:r>
              <w:rPr>
                <w:rFonts w:ascii="宋体" w:hAnsi="宋体" w:eastAsia="宋体" w:cs="宋体"/>
                <w:b w:val="0"/>
                <w:bCs w:val="0"/>
                <w:color w:val="000000" w:themeColor="text1"/>
                <w:sz w:val="24"/>
                <w:szCs w:val="24"/>
                <w:highlight w:val="none"/>
                <w14:textFill>
                  <w14:solidFill>
                    <w14:schemeClr w14:val="tx1"/>
                  </w14:solidFill>
                </w14:textFill>
              </w:rPr>
              <w:t>中标（成交）供应商</w:t>
            </w:r>
          </w:p>
          <w:p w14:paraId="35783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2、收费标准：</w:t>
            </w:r>
            <w:r>
              <w:rPr>
                <w:rFonts w:hint="eastAsia" w:ascii="宋体" w:hAnsi="宋体" w:eastAsia="宋体" w:cs="宋体"/>
                <w:color w:val="000000" w:themeColor="text1"/>
                <w:sz w:val="24"/>
                <w:szCs w:val="20"/>
                <w:highlight w:val="none"/>
                <w14:textFill>
                  <w14:solidFill>
                    <w14:schemeClr w14:val="tx1"/>
                  </w14:solidFill>
                </w14:textFill>
              </w:rPr>
              <w:t>按下列标准收取：代理服务费的收取采用差额定率累进计费方式，具体收费标准为下表</w:t>
            </w:r>
            <w:r>
              <w:rPr>
                <w:rFonts w:hint="eastAsia" w:ascii="宋体" w:hAnsi="宋体" w:eastAsia="宋体" w:cs="宋体"/>
                <w:color w:val="000000" w:themeColor="text1"/>
                <w:sz w:val="24"/>
                <w:szCs w:val="20"/>
                <w:highlight w:val="none"/>
                <w:lang w:val="en-US" w:eastAsia="zh-CN"/>
                <w14:textFill>
                  <w14:solidFill>
                    <w14:schemeClr w14:val="tx1"/>
                  </w14:solidFill>
                </w14:textFill>
              </w:rPr>
              <w:t>的</w:t>
            </w:r>
            <w:r>
              <w:rPr>
                <w:rFonts w:hint="eastAsia" w:ascii="宋体" w:hAnsi="宋体" w:cs="宋体"/>
                <w:color w:val="000000" w:themeColor="text1"/>
                <w:sz w:val="24"/>
                <w:szCs w:val="20"/>
                <w:highlight w:val="none"/>
                <w:lang w:val="en-US" w:eastAsia="zh-CN"/>
                <w14:textFill>
                  <w14:solidFill>
                    <w14:schemeClr w14:val="tx1"/>
                  </w14:solidFill>
                </w14:textFill>
              </w:rPr>
              <w:t>100</w:t>
            </w:r>
            <w:r>
              <w:rPr>
                <w:rFonts w:hint="eastAsia" w:ascii="宋体" w:hAnsi="宋体" w:eastAsia="宋体" w:cs="宋体"/>
                <w:color w:val="000000" w:themeColor="text1"/>
                <w:sz w:val="24"/>
                <w:szCs w:val="20"/>
                <w:highlight w:val="none"/>
                <w:lang w:val="en-US" w:eastAsia="zh-CN"/>
                <w14:textFill>
                  <w14:solidFill>
                    <w14:schemeClr w14:val="tx1"/>
                  </w14:solidFill>
                </w14:textFill>
              </w:rPr>
              <w:t>%收取，不足3000按3000元收取。</w:t>
            </w:r>
          </w:p>
          <w:tbl>
            <w:tblPr>
              <w:tblStyle w:val="35"/>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themeColor="text1"/>
                      <w:sz w:val="20"/>
                      <w:highlight w:val="none"/>
                      <w14:textFill>
                        <w14:solidFill>
                          <w14:schemeClr w14:val="tx1"/>
                        </w14:solidFill>
                      </w14:textFill>
                    </w:rPr>
                  </w:pPr>
                  <w:r>
                    <w:rPr>
                      <w:rFonts w:hint="eastAsia" w:ascii="Calibri" w:hAnsi="Calibri" w:cs="Calibri"/>
                      <w:b/>
                      <w:bCs/>
                      <w:color w:val="000000" w:themeColor="text1"/>
                      <w:kern w:val="0"/>
                      <w:sz w:val="22"/>
                      <w:szCs w:val="22"/>
                      <w:highlight w:val="none"/>
                      <w14:textFill>
                        <w14:solidFill>
                          <w14:schemeClr w14:val="tx1"/>
                        </w14:solidFill>
                      </w14:textFill>
                    </w:rPr>
                    <w:t>中标（</w:t>
                  </w:r>
                  <w:r>
                    <w:rPr>
                      <w:rFonts w:ascii="Calibri" w:hAnsi="Calibri" w:cs="Calibri"/>
                      <w:b/>
                      <w:bCs/>
                      <w:color w:val="000000" w:themeColor="text1"/>
                      <w:kern w:val="0"/>
                      <w:sz w:val="22"/>
                      <w:szCs w:val="22"/>
                      <w:highlight w:val="none"/>
                      <w14:textFill>
                        <w14:solidFill>
                          <w14:schemeClr w14:val="tx1"/>
                        </w14:solidFill>
                      </w14:textFill>
                    </w:rPr>
                    <w:t>成交</w:t>
                  </w:r>
                  <w:r>
                    <w:rPr>
                      <w:rFonts w:hint="eastAsia" w:ascii="Calibri" w:hAnsi="Calibri" w:cs="Calibri"/>
                      <w:b/>
                      <w:bCs/>
                      <w:color w:val="000000" w:themeColor="text1"/>
                      <w:kern w:val="0"/>
                      <w:sz w:val="22"/>
                      <w:szCs w:val="22"/>
                      <w:highlight w:val="none"/>
                      <w14:textFill>
                        <w14:solidFill>
                          <w14:schemeClr w14:val="tx1"/>
                        </w14:solidFill>
                      </w14:textFill>
                    </w:rPr>
                    <w:t>）</w:t>
                  </w:r>
                  <w:r>
                    <w:rPr>
                      <w:rFonts w:ascii="Calibri" w:hAnsi="Calibri" w:cs="Calibri"/>
                      <w:b/>
                      <w:bCs/>
                      <w:color w:val="000000" w:themeColor="text1"/>
                      <w:kern w:val="0"/>
                      <w:sz w:val="22"/>
                      <w:szCs w:val="22"/>
                      <w:highlight w:val="none"/>
                      <w14:textFill>
                        <w14:solidFill>
                          <w14:schemeClr w14:val="tx1"/>
                        </w14:solidFill>
                      </w14:textFill>
                    </w:rPr>
                    <w:t>金额</w:t>
                  </w:r>
                  <w:r>
                    <w:rPr>
                      <w:rFonts w:hint="eastAsia" w:ascii="Calibri" w:hAnsi="Calibri" w:cs="Calibri"/>
                      <w:b/>
                      <w:bCs/>
                      <w:color w:val="000000" w:themeColor="text1"/>
                      <w:kern w:val="0"/>
                      <w:sz w:val="22"/>
                      <w:szCs w:val="22"/>
                      <w:highlight w:val="none"/>
                      <w14:textFill>
                        <w14:solidFill>
                          <w14:schemeClr w14:val="tx1"/>
                        </w14:solidFill>
                      </w14:textFill>
                    </w:rPr>
                    <w:t>（万元）</w:t>
                  </w:r>
                </w:p>
              </w:tc>
              <w:tc>
                <w:tcPr>
                  <w:tcW w:w="1335" w:type="dxa"/>
                  <w:noWrap w:val="0"/>
                  <w:vAlign w:val="center"/>
                </w:tcPr>
                <w:p w14:paraId="321B70D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货物</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275" w:type="dxa"/>
                  <w:noWrap w:val="0"/>
                  <w:vAlign w:val="center"/>
                </w:tcPr>
                <w:p w14:paraId="4D0EA623">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服务</w:t>
                  </w:r>
                  <w:r>
                    <w:rPr>
                      <w:rFonts w:hint="eastAsia" w:ascii="Calibri" w:hAnsi="Calibri" w:cs="Calibri"/>
                      <w:b/>
                      <w:bCs/>
                      <w:color w:val="000000" w:themeColor="text1"/>
                      <w:kern w:val="0"/>
                      <w:sz w:val="22"/>
                      <w:szCs w:val="22"/>
                      <w:highlight w:val="none"/>
                      <w14:textFill>
                        <w14:solidFill>
                          <w14:schemeClr w14:val="tx1"/>
                        </w14:solidFill>
                      </w14:textFill>
                    </w:rPr>
                    <w:t>类项目</w:t>
                  </w:r>
                </w:p>
              </w:tc>
              <w:tc>
                <w:tcPr>
                  <w:tcW w:w="1320" w:type="dxa"/>
                  <w:noWrap w:val="0"/>
                  <w:vAlign w:val="center"/>
                </w:tcPr>
                <w:p w14:paraId="5A2869A1">
                  <w:pPr>
                    <w:widowControl/>
                    <w:jc w:val="left"/>
                    <w:textAlignment w:val="center"/>
                    <w:rPr>
                      <w:b/>
                      <w:bCs/>
                      <w:color w:val="000000" w:themeColor="text1"/>
                      <w:sz w:val="20"/>
                      <w:highlight w:val="none"/>
                      <w14:textFill>
                        <w14:solidFill>
                          <w14:schemeClr w14:val="tx1"/>
                        </w14:solidFill>
                      </w14:textFill>
                    </w:rPr>
                  </w:pPr>
                  <w:r>
                    <w:rPr>
                      <w:rFonts w:ascii="Calibri" w:hAnsi="Calibri" w:cs="Calibri"/>
                      <w:b/>
                      <w:bCs/>
                      <w:color w:val="000000" w:themeColor="text1"/>
                      <w:kern w:val="0"/>
                      <w:sz w:val="22"/>
                      <w:szCs w:val="22"/>
                      <w:highlight w:val="none"/>
                      <w14:textFill>
                        <w14:solidFill>
                          <w14:schemeClr w14:val="tx1"/>
                        </w14:solidFill>
                      </w14:textFill>
                    </w:rPr>
                    <w:t>工程</w:t>
                  </w:r>
                  <w:r>
                    <w:rPr>
                      <w:rFonts w:hint="eastAsia" w:ascii="Calibri" w:hAnsi="Calibri" w:cs="Calibri"/>
                      <w:b/>
                      <w:bCs/>
                      <w:color w:val="000000" w:themeColor="text1"/>
                      <w:kern w:val="0"/>
                      <w:sz w:val="22"/>
                      <w:szCs w:val="22"/>
                      <w:highlight w:val="none"/>
                      <w14:textFill>
                        <w14:solidFill>
                          <w14:schemeClr w14:val="tx1"/>
                        </w14:solidFill>
                      </w14:textFill>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 以下</w:t>
                  </w:r>
                </w:p>
              </w:tc>
              <w:tc>
                <w:tcPr>
                  <w:tcW w:w="1335" w:type="dxa"/>
                  <w:noWrap w:val="0"/>
                  <w:vAlign w:val="center"/>
                </w:tcPr>
                <w:p w14:paraId="429D5A1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275" w:type="dxa"/>
                  <w:noWrap w:val="0"/>
                  <w:vAlign w:val="center"/>
                </w:tcPr>
                <w:p w14:paraId="2F4A6E7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1.5%</w:t>
                  </w:r>
                </w:p>
              </w:tc>
              <w:tc>
                <w:tcPr>
                  <w:tcW w:w="1320" w:type="dxa"/>
                  <w:noWrap w:val="0"/>
                  <w:vAlign w:val="center"/>
                </w:tcPr>
                <w:p w14:paraId="06031F3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100-500</w:t>
                  </w:r>
                </w:p>
              </w:tc>
              <w:tc>
                <w:tcPr>
                  <w:tcW w:w="1335" w:type="dxa"/>
                  <w:noWrap w:val="0"/>
                  <w:vAlign w:val="center"/>
                </w:tcPr>
                <w:p w14:paraId="4E81A31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1.1%</w:t>
                  </w:r>
                </w:p>
              </w:tc>
              <w:tc>
                <w:tcPr>
                  <w:tcW w:w="1275" w:type="dxa"/>
                  <w:noWrap w:val="0"/>
                  <w:vAlign w:val="center"/>
                </w:tcPr>
                <w:p w14:paraId="7DAAC60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320" w:type="dxa"/>
                  <w:noWrap w:val="0"/>
                  <w:vAlign w:val="center"/>
                </w:tcPr>
                <w:p w14:paraId="3A3B8D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500-1000</w:t>
                  </w:r>
                </w:p>
              </w:tc>
              <w:tc>
                <w:tcPr>
                  <w:tcW w:w="1335" w:type="dxa"/>
                  <w:noWrap w:val="0"/>
                  <w:vAlign w:val="center"/>
                </w:tcPr>
                <w:p w14:paraId="31AB7E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0.8%</w:t>
                  </w:r>
                </w:p>
              </w:tc>
              <w:tc>
                <w:tcPr>
                  <w:tcW w:w="1275" w:type="dxa"/>
                  <w:noWrap w:val="0"/>
                  <w:vAlign w:val="center"/>
                </w:tcPr>
                <w:p w14:paraId="0C7E2E0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0.45%</w:t>
                  </w:r>
                </w:p>
              </w:tc>
              <w:tc>
                <w:tcPr>
                  <w:tcW w:w="1320" w:type="dxa"/>
                  <w:noWrap w:val="0"/>
                  <w:vAlign w:val="center"/>
                </w:tcPr>
                <w:p w14:paraId="65623FFB">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1000-5000</w:t>
                  </w:r>
                </w:p>
              </w:tc>
              <w:tc>
                <w:tcPr>
                  <w:tcW w:w="1335" w:type="dxa"/>
                  <w:noWrap w:val="0"/>
                  <w:vAlign w:val="center"/>
                </w:tcPr>
                <w:p w14:paraId="3EB8F9D5">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0.5%</w:t>
                  </w:r>
                </w:p>
              </w:tc>
              <w:tc>
                <w:tcPr>
                  <w:tcW w:w="1275" w:type="dxa"/>
                  <w:noWrap w:val="0"/>
                  <w:vAlign w:val="center"/>
                </w:tcPr>
                <w:p w14:paraId="6AD5B54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320" w:type="dxa"/>
                  <w:noWrap w:val="0"/>
                  <w:vAlign w:val="center"/>
                </w:tcPr>
                <w:p w14:paraId="74F344B4">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5000-10000</w:t>
                  </w:r>
                </w:p>
              </w:tc>
              <w:tc>
                <w:tcPr>
                  <w:tcW w:w="1335" w:type="dxa"/>
                  <w:noWrap w:val="0"/>
                  <w:vAlign w:val="center"/>
                </w:tcPr>
                <w:p w14:paraId="3CCC785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0.25%</w:t>
                  </w:r>
                </w:p>
              </w:tc>
              <w:tc>
                <w:tcPr>
                  <w:tcW w:w="1275" w:type="dxa"/>
                  <w:noWrap w:val="0"/>
                  <w:vAlign w:val="center"/>
                </w:tcPr>
                <w:p w14:paraId="46B9C5C2">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0.1%</w:t>
                  </w:r>
                </w:p>
              </w:tc>
              <w:tc>
                <w:tcPr>
                  <w:tcW w:w="1320" w:type="dxa"/>
                  <w:noWrap w:val="0"/>
                  <w:vAlign w:val="center"/>
                </w:tcPr>
                <w:p w14:paraId="4391E5CD">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10000-100000</w:t>
                  </w:r>
                </w:p>
              </w:tc>
              <w:tc>
                <w:tcPr>
                  <w:tcW w:w="1335" w:type="dxa"/>
                  <w:noWrap w:val="0"/>
                  <w:vAlign w:val="center"/>
                </w:tcPr>
                <w:p w14:paraId="3A3025B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275" w:type="dxa"/>
                  <w:noWrap w:val="0"/>
                  <w:vAlign w:val="center"/>
                </w:tcPr>
                <w:p w14:paraId="3E25A05F">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c>
                <w:tcPr>
                  <w:tcW w:w="1320" w:type="dxa"/>
                  <w:noWrap w:val="0"/>
                  <w:vAlign w:val="center"/>
                </w:tcPr>
                <w:p w14:paraId="042ABCF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100000 以上</w:t>
                  </w:r>
                </w:p>
              </w:tc>
              <w:tc>
                <w:tcPr>
                  <w:tcW w:w="1335" w:type="dxa"/>
                  <w:noWrap w:val="0"/>
                  <w:vAlign w:val="center"/>
                </w:tcPr>
                <w:p w14:paraId="24ABC301">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275" w:type="dxa"/>
                  <w:noWrap w:val="0"/>
                  <w:vAlign w:val="center"/>
                </w:tcPr>
                <w:p w14:paraId="36E92B68">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c>
                <w:tcPr>
                  <w:tcW w:w="1320" w:type="dxa"/>
                  <w:noWrap w:val="0"/>
                  <w:vAlign w:val="center"/>
                </w:tcPr>
                <w:p w14:paraId="18D75BA0">
                  <w:pPr>
                    <w:widowControl/>
                    <w:jc w:val="left"/>
                    <w:textAlignment w:val="center"/>
                    <w:rPr>
                      <w:color w:val="000000" w:themeColor="text1"/>
                      <w:sz w:val="20"/>
                      <w:highlight w:val="none"/>
                      <w14:textFill>
                        <w14:solidFill>
                          <w14:schemeClr w14:val="tx1"/>
                        </w14:solidFill>
                      </w14:textFill>
                    </w:rPr>
                  </w:pPr>
                  <w:r>
                    <w:rPr>
                      <w:rFonts w:ascii="Calibri" w:hAnsi="Calibri" w:cs="Calibri"/>
                      <w:color w:val="000000" w:themeColor="text1"/>
                      <w:kern w:val="0"/>
                      <w:sz w:val="22"/>
                      <w:szCs w:val="22"/>
                      <w:highlight w:val="none"/>
                      <w14:textFill>
                        <w14:solidFill>
                          <w14:schemeClr w14:val="tx1"/>
                        </w14:solidFill>
                      </w14:textFill>
                    </w:rPr>
                    <w:t>0.01%</w:t>
                  </w:r>
                </w:p>
              </w:tc>
            </w:tr>
          </w:tbl>
          <w:p w14:paraId="3933774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注：代理服务费按差额定率累进法计算。</w:t>
            </w:r>
          </w:p>
          <w:p w14:paraId="6F93369F">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例如：某服务类项目代理业务中标金额为 6000 万元，计算代理服务费如下：100 万元×1.5％＝1.5万元</w:t>
            </w:r>
          </w:p>
          <w:p w14:paraId="408EE9F5">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（500－100）万元×0.8％＝3.2万元</w:t>
            </w:r>
          </w:p>
          <w:p w14:paraId="3AE5D04C">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（1000－500）万元×0.45％＝2.25 万元</w:t>
            </w:r>
          </w:p>
          <w:p w14:paraId="676D20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（5000－1000）万元×0.25％＝10万元</w:t>
            </w:r>
          </w:p>
          <w:p w14:paraId="53AE1BB1">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（6000－5000）万元×0.1％＝1万元</w:t>
            </w:r>
          </w:p>
          <w:p w14:paraId="2539268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合计收费＝1.5＋3.2＋2.25＋10＋1＝17.95(万元)</w:t>
            </w:r>
          </w:p>
          <w:p w14:paraId="6FE46B2A">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3、收取方式：</w:t>
            </w:r>
            <w:r>
              <w:rPr>
                <w:rFonts w:hint="eastAsia" w:ascii="宋体" w:hAnsi="宋体" w:cs="宋体"/>
                <w:color w:val="000000" w:themeColor="text1"/>
                <w:sz w:val="24"/>
                <w:highlight w:val="none"/>
                <w14:textFill>
                  <w14:solidFill>
                    <w14:schemeClr w14:val="tx1"/>
                  </w14:solidFill>
                </w14:textFill>
              </w:rPr>
              <w:t>银行转账。</w:t>
            </w:r>
          </w:p>
          <w:p w14:paraId="105A53F4">
            <w:pPr>
              <w:spacing w:line="500" w:lineRule="exact"/>
              <w:jc w:val="lef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4、代理服务费缴纳账户：</w:t>
            </w:r>
          </w:p>
          <w:p w14:paraId="15522166">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户名：安徽同方工程咨询有限公司</w:t>
            </w:r>
          </w:p>
          <w:p w14:paraId="116E1CA9">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开户行：徽商银行六安解放路恒源支行 </w:t>
            </w:r>
          </w:p>
          <w:p w14:paraId="5B3D6BA7">
            <w:pPr>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账号：000000602003900000243 </w:t>
            </w:r>
          </w:p>
          <w:p w14:paraId="5A712CD1">
            <w:pPr>
              <w:pStyle w:val="98"/>
              <w:pBdr>
                <w:bottom w:val="none" w:color="auto" w:sz="0" w:space="0"/>
              </w:pBdr>
              <w:tabs>
                <w:tab w:val="clear" w:pos="4153"/>
                <w:tab w:val="clear" w:pos="8306"/>
              </w:tabs>
              <w:adjustRightInd/>
              <w:spacing w:line="440" w:lineRule="exact"/>
              <w:jc w:val="left"/>
              <w:textAlignment w:val="auto"/>
              <w:rPr>
                <w:rFonts w:hint="eastAsia" w:ascii="宋体" w:hAnsi="宋体" w:cs="宋体"/>
                <w:b/>
                <w:bCs/>
                <w:color w:val="000000" w:themeColor="text1"/>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5、代理服务费详见成交结果公告；代理服务费须从成交供应商账户</w:t>
            </w:r>
          </w:p>
          <w:p w14:paraId="148D42B5">
            <w:pPr>
              <w:pStyle w:val="98"/>
              <w:pBdr>
                <w:bottom w:val="none" w:color="auto" w:sz="0" w:space="0"/>
              </w:pBdr>
              <w:tabs>
                <w:tab w:val="clear" w:pos="4153"/>
                <w:tab w:val="clear" w:pos="8306"/>
              </w:tabs>
              <w:adjustRightInd/>
              <w:spacing w:line="440" w:lineRule="exact"/>
              <w:jc w:val="left"/>
              <w:textAlignment w:val="auto"/>
              <w:rPr>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highlight w:val="none"/>
                <w:lang w:val="en-US"/>
                <w14:textFill>
                  <w14:solidFill>
                    <w14:schemeClr w14:val="tx1"/>
                  </w14:solidFill>
                </w14:textFill>
              </w:rPr>
              <w:t>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10</w:t>
            </w:r>
          </w:p>
        </w:tc>
        <w:tc>
          <w:tcPr>
            <w:tcW w:w="1502" w:type="dxa"/>
            <w:vAlign w:val="center"/>
          </w:tcPr>
          <w:p w14:paraId="0D471996">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履约保证金</w:t>
            </w:r>
          </w:p>
        </w:tc>
        <w:tc>
          <w:tcPr>
            <w:tcW w:w="7308" w:type="dxa"/>
            <w:vAlign w:val="center"/>
          </w:tcPr>
          <w:p w14:paraId="27C3A8D6">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1、成交供应商在签订合同时应向采购人提交合同总价</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u w:val="single"/>
                <w:lang w:val="en-US" w:eastAsia="zh-CN"/>
                <w14:textFill>
                  <w14:solidFill>
                    <w14:schemeClr w14:val="tx1"/>
                  </w14:solidFill>
                </w14:textFill>
              </w:rPr>
              <w:t>2</w:t>
            </w:r>
            <w:r>
              <w:rPr>
                <w:rFonts w:hint="eastAsia" w:ascii="宋体" w:hAnsi="宋体" w:cs="宋体"/>
                <w:bCs/>
                <w:color w:val="000000" w:themeColor="text1"/>
                <w:sz w:val="24"/>
                <w:szCs w:val="32"/>
                <w:highlight w:val="none"/>
                <w:u w:val="single"/>
                <w14:textFill>
                  <w14:solidFill>
                    <w14:schemeClr w14:val="tx1"/>
                  </w14:solidFill>
                </w14:textFill>
              </w:rPr>
              <w:t xml:space="preserve"> </w:t>
            </w:r>
            <w:r>
              <w:rPr>
                <w:rFonts w:hint="eastAsia" w:ascii="宋体" w:hAnsi="宋体" w:cs="宋体"/>
                <w:bCs/>
                <w:color w:val="000000" w:themeColor="text1"/>
                <w:sz w:val="24"/>
                <w:szCs w:val="32"/>
                <w:highlight w:val="none"/>
                <w14:textFill>
                  <w14:solidFill>
                    <w14:schemeClr w14:val="tx1"/>
                  </w14:solidFill>
                </w14:textFill>
              </w:rPr>
              <w:t>%的履约保证金。</w:t>
            </w:r>
          </w:p>
          <w:p w14:paraId="217C124A">
            <w:pPr>
              <w:spacing w:line="400" w:lineRule="exact"/>
              <w:rPr>
                <w:rFonts w:ascii="宋体" w:hAnsi="宋体" w:cs="宋体"/>
                <w:bCs/>
                <w:color w:val="000000" w:themeColor="text1"/>
                <w:sz w:val="24"/>
                <w:szCs w:val="32"/>
                <w:highlight w:val="none"/>
                <w14:textFill>
                  <w14:solidFill>
                    <w14:schemeClr w14:val="tx1"/>
                  </w14:solidFill>
                </w14:textFill>
              </w:rPr>
            </w:pPr>
            <w:r>
              <w:rPr>
                <w:rFonts w:hint="eastAsia" w:ascii="宋体" w:hAnsi="宋体" w:cs="宋体"/>
                <w:bCs/>
                <w:color w:val="000000" w:themeColor="text1"/>
                <w:sz w:val="24"/>
                <w:szCs w:val="32"/>
                <w:highlight w:val="none"/>
                <w14:textFill>
                  <w14:solidFill>
                    <w14:schemeClr w14:val="tx1"/>
                  </w14:solidFill>
                </w14:textFill>
              </w:rPr>
              <w:t>2、成交供应商可以通过转账、网银支付、汇票、支票、保证保险、担保保函、银行履约保函等方式提交履约保证金。</w:t>
            </w:r>
          </w:p>
          <w:p w14:paraId="4E5891C2">
            <w:pPr>
              <w:pStyle w:val="33"/>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服务期</w:t>
            </w:r>
            <w:r>
              <w:rPr>
                <w:rFonts w:hint="eastAsia"/>
                <w:color w:val="000000" w:themeColor="text1"/>
                <w:highlight w:val="none"/>
                <w14:textFill>
                  <w14:solidFill>
                    <w14:schemeClr w14:val="tx1"/>
                  </w14:solidFill>
                </w14:textFill>
              </w:rPr>
              <w:t>结束后</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8"/>
              <w:pBdr>
                <w:bottom w:val="none" w:color="auto" w:sz="0" w:space="0"/>
              </w:pBdr>
              <w:tabs>
                <w:tab w:val="clear" w:pos="4153"/>
                <w:tab w:val="clear" w:pos="8306"/>
              </w:tabs>
              <w:adjustRightInd/>
              <w:spacing w:line="44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11</w:t>
            </w:r>
          </w:p>
        </w:tc>
        <w:tc>
          <w:tcPr>
            <w:tcW w:w="1502" w:type="dxa"/>
            <w:vAlign w:val="center"/>
          </w:tcPr>
          <w:p w14:paraId="771AA7C7">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8"/>
              <w:pBdr>
                <w:bottom w:val="none" w:color="auto" w:sz="0" w:space="0"/>
              </w:pBdr>
              <w:tabs>
                <w:tab w:val="clear" w:pos="4153"/>
                <w:tab w:val="clear" w:pos="8306"/>
              </w:tabs>
              <w:adjustRightInd/>
              <w:spacing w:line="440" w:lineRule="exact"/>
              <w:jc w:val="left"/>
              <w:textAlignment w:val="auto"/>
              <w:rPr>
                <w:rFonts w:hint="eastAsia"/>
                <w:color w:val="000000" w:themeColor="text1"/>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8"/>
              <w:pBdr>
                <w:bottom w:val="none" w:color="auto" w:sz="0" w:space="0"/>
              </w:pBdr>
              <w:tabs>
                <w:tab w:val="clear" w:pos="4153"/>
                <w:tab w:val="clear" w:pos="8306"/>
              </w:tabs>
              <w:adjustRightInd/>
              <w:spacing w:line="440" w:lineRule="exact"/>
              <w:textAlignment w:val="auto"/>
              <w:rPr>
                <w:color w:val="000000" w:themeColor="text1"/>
                <w:highlight w:val="none"/>
                <w14:textFill>
                  <w14:solidFill>
                    <w14:schemeClr w14:val="tx1"/>
                  </w14:solidFill>
                </w14:textFill>
              </w:rPr>
            </w:pPr>
          </w:p>
        </w:tc>
        <w:tc>
          <w:tcPr>
            <w:tcW w:w="1502" w:type="dxa"/>
            <w:vAlign w:val="center"/>
          </w:tcPr>
          <w:p w14:paraId="3D7F79B9">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w:t>
            </w:r>
            <w:r>
              <w:rPr>
                <w:rFonts w:hint="eastAsia" w:ascii="宋体" w:hAnsi="宋体" w:eastAsia="宋体"/>
                <w:b w:val="0"/>
                <w:color w:val="000000" w:themeColor="text1"/>
                <w:sz w:val="24"/>
                <w:highlight w:val="none"/>
                <w:lang w:val="en-US" w:eastAsia="zh-CN"/>
                <w14:textFill>
                  <w14:solidFill>
                    <w14:schemeClr w14:val="tx1"/>
                  </w14:solidFill>
                </w14:textFill>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采购人</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委托</w:t>
            </w:r>
            <w:r>
              <w:rPr>
                <w:rFonts w:hint="eastAsia" w:asciiTheme="minorEastAsia" w:hAnsiTheme="minorEastAsia" w:eastAsiaTheme="minorEastAsia"/>
                <w:color w:val="000000" w:themeColor="text1"/>
                <w:kern w:val="0"/>
                <w:sz w:val="24"/>
                <w:szCs w:val="24"/>
                <w:highlight w:val="none"/>
                <w:lang w:val="en-US" w:eastAsia="zh-CN"/>
                <w14:textFill>
                  <w14:solidFill>
                    <w14:schemeClr w14:val="tx1"/>
                  </w14:solidFill>
                </w14:textFill>
              </w:rPr>
              <w:t>谈判</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小组确定</w:t>
            </w:r>
          </w:p>
          <w:p w14:paraId="0F27D3CD">
            <w:pPr>
              <w:pStyle w:val="10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12</w:t>
            </w:r>
          </w:p>
        </w:tc>
        <w:tc>
          <w:tcPr>
            <w:tcW w:w="1502" w:type="dxa"/>
            <w:vAlign w:val="center"/>
          </w:tcPr>
          <w:p w14:paraId="1D38DFE9">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踏勘及对接</w:t>
            </w:r>
          </w:p>
        </w:tc>
        <w:tc>
          <w:tcPr>
            <w:tcW w:w="7308" w:type="dxa"/>
            <w:vAlign w:val="center"/>
          </w:tcPr>
          <w:p w14:paraId="34CAAE32">
            <w:pPr>
              <w:pStyle w:val="98"/>
              <w:pBdr>
                <w:bottom w:val="none" w:color="auto" w:sz="0" w:space="0"/>
              </w:pBdr>
              <w:tabs>
                <w:tab w:val="clear" w:pos="4153"/>
                <w:tab w:val="clear" w:pos="8306"/>
              </w:tabs>
              <w:adjustRightInd/>
              <w:spacing w:line="40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cs="宋体"/>
                <w:bCs/>
                <w:color w:val="000000" w:themeColor="text1"/>
                <w:kern w:val="2"/>
                <w:szCs w:val="24"/>
                <w:highlight w:val="none"/>
                <w14:textFill>
                  <w14:solidFill>
                    <w14:schemeClr w14:val="tx1"/>
                  </w14:solidFill>
                </w14:textFill>
              </w:rPr>
              <w:t>请各供应商联系采购单位自行踏勘，采购人免费提供项目实施过程中各项对接协调服务。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13</w:t>
            </w:r>
          </w:p>
        </w:tc>
        <w:tc>
          <w:tcPr>
            <w:tcW w:w="1502" w:type="dxa"/>
            <w:vAlign w:val="center"/>
          </w:tcPr>
          <w:p w14:paraId="163B7E9A">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提问与回复</w:t>
            </w:r>
          </w:p>
        </w:tc>
        <w:tc>
          <w:tcPr>
            <w:tcW w:w="7308" w:type="dxa"/>
            <w:vAlign w:val="center"/>
          </w:tcPr>
          <w:p w14:paraId="5A40B669">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供应商若对采购文件有关内容存在理解障碍，或认为采购文件表述有模糊不清之处，可通过</w:t>
            </w:r>
            <w:r>
              <w:rPr>
                <w:rFonts w:hint="eastAsia" w:ascii="宋体" w:hAnsi="宋体"/>
                <w:bCs/>
                <w:color w:val="000000" w:themeColor="text1"/>
                <w:kern w:val="2"/>
                <w:szCs w:val="24"/>
                <w:highlight w:val="none"/>
                <w:lang w:val="en-US" w:eastAsia="zh-CN"/>
                <w14:textFill>
                  <w14:solidFill>
                    <w14:schemeClr w14:val="tx1"/>
                  </w14:solidFill>
                </w14:textFill>
              </w:rPr>
              <w:t>电话</w:t>
            </w:r>
            <w:r>
              <w:rPr>
                <w:rFonts w:hint="eastAsia" w:ascii="宋体" w:hAnsi="宋体"/>
                <w:bCs/>
                <w:color w:val="000000" w:themeColor="text1"/>
                <w:kern w:val="2"/>
                <w:szCs w:val="24"/>
                <w:highlight w:val="none"/>
                <w14:textFill>
                  <w14:solidFill>
                    <w14:schemeClr w14:val="tx1"/>
                  </w14:solidFill>
                </w14:textFill>
              </w:rPr>
              <w:t>向采购人（采购代理机构）提出，采购人（采购代理机构）将及时通过电话回复。该渠道仅接受关于项目的一般性疑问</w:t>
            </w:r>
            <w:r>
              <w:rPr>
                <w:rFonts w:hint="eastAsia" w:ascii="宋体" w:hAnsi="宋体"/>
                <w:b/>
                <w:color w:val="000000" w:themeColor="text1"/>
                <w:kern w:val="2"/>
                <w:szCs w:val="24"/>
                <w:highlight w:val="none"/>
                <w14:textFill>
                  <w14:solidFill>
                    <w14:schemeClr w14:val="tx1"/>
                  </w14:solidFill>
                </w14:textFill>
              </w:rPr>
              <w:t>（非质疑）</w:t>
            </w:r>
            <w:r>
              <w:rPr>
                <w:rFonts w:hint="eastAsia" w:ascii="宋体" w:hAnsi="宋体"/>
                <w:bCs/>
                <w:color w:val="000000" w:themeColor="text1"/>
                <w:kern w:val="2"/>
                <w:szCs w:val="24"/>
                <w:highlight w:val="none"/>
                <w14:textFill>
                  <w14:solidFill>
                    <w14:schemeClr w14:val="tx1"/>
                  </w14:solidFill>
                </w14:textFill>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14</w:t>
            </w:r>
          </w:p>
        </w:tc>
        <w:tc>
          <w:tcPr>
            <w:tcW w:w="1502" w:type="dxa"/>
            <w:vAlign w:val="center"/>
          </w:tcPr>
          <w:p w14:paraId="2CB902E1">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质疑与答疑</w:t>
            </w:r>
          </w:p>
        </w:tc>
        <w:tc>
          <w:tcPr>
            <w:tcW w:w="7308" w:type="dxa"/>
            <w:vAlign w:val="center"/>
          </w:tcPr>
          <w:p w14:paraId="5AA121B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开标及截止时间前一天</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。质疑文件不可匿名，须以附件形式加盖质疑人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4BE1A5C3">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5C31094E">
            <w:pPr>
              <w:pStyle w:val="98"/>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六安市叶集区人民医院（六安市第六人民医院）（http://www.lasdlrmyy.cn/index.html）官网，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15</w:t>
            </w:r>
          </w:p>
        </w:tc>
        <w:tc>
          <w:tcPr>
            <w:tcW w:w="1502" w:type="dxa"/>
            <w:vAlign w:val="center"/>
          </w:tcPr>
          <w:p w14:paraId="43141239">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响应文件份数及要求</w:t>
            </w:r>
          </w:p>
        </w:tc>
        <w:tc>
          <w:tcPr>
            <w:tcW w:w="7308" w:type="dxa"/>
            <w:vAlign w:val="center"/>
          </w:tcPr>
          <w:p w14:paraId="4A843111">
            <w:pPr>
              <w:pStyle w:val="98"/>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themeColor="text1"/>
                <w:kern w:val="0"/>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正本1份、副本2份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纸质标书共计3份）</w:t>
            </w:r>
            <w:r>
              <w:rPr>
                <w:rFonts w:hint="eastAsia" w:ascii="宋体" w:hAnsi="宋体"/>
                <w:bCs/>
                <w:color w:val="000000" w:themeColor="text1"/>
                <w:kern w:val="2"/>
                <w:szCs w:val="24"/>
                <w:highlight w:val="none"/>
                <w14:textFill>
                  <w14:solidFill>
                    <w14:schemeClr w14:val="tx1"/>
                  </w14:solidFill>
                </w14:textFill>
              </w:rPr>
              <w:t>，电子档1份</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val="en-US" w:eastAsia="zh-CN"/>
                <w14:textFill>
                  <w14:solidFill>
                    <w14:schemeClr w14:val="tx1"/>
                  </w14:solidFill>
                </w14:textFill>
              </w:rPr>
              <w:t>U盘等，</w:t>
            </w:r>
            <w:r>
              <w:rPr>
                <w:rFonts w:hint="eastAsia" w:ascii="宋体" w:hAnsi="宋体"/>
                <w:bCs/>
                <w:color w:val="000000" w:themeColor="text1"/>
                <w:kern w:val="2"/>
                <w:szCs w:val="24"/>
                <w:highlight w:val="none"/>
                <w14:textFill>
                  <w14:solidFill>
                    <w14:schemeClr w14:val="tx1"/>
                  </w14:solidFill>
                </w14:textFill>
              </w:rPr>
              <w:t>电子档</w:t>
            </w:r>
            <w:r>
              <w:rPr>
                <w:rFonts w:hint="eastAsia" w:ascii="宋体" w:hAnsi="宋体"/>
                <w:bCs/>
                <w:color w:val="000000" w:themeColor="text1"/>
                <w:kern w:val="2"/>
                <w:szCs w:val="24"/>
                <w:highlight w:val="none"/>
                <w:lang w:val="en-US" w:eastAsia="zh-CN"/>
                <w14:textFill>
                  <w14:solidFill>
                    <w14:schemeClr w14:val="tx1"/>
                  </w14:solidFill>
                </w14:textFill>
              </w:rPr>
              <w:t>仅用于项目备案存档）</w:t>
            </w:r>
            <w:r>
              <w:rPr>
                <w:rFonts w:hint="eastAsia" w:ascii="宋体" w:hAnsi="宋体"/>
                <w:bCs/>
                <w:color w:val="000000" w:themeColor="text1"/>
                <w:kern w:val="2"/>
                <w:szCs w:val="24"/>
                <w:highlight w:val="none"/>
                <w14:textFill>
                  <w14:solidFill>
                    <w14:schemeClr w14:val="tx1"/>
                  </w14:solidFill>
                </w14:textFill>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8"/>
              <w:pBdr>
                <w:bottom w:val="none" w:color="auto" w:sz="0" w:space="0"/>
              </w:pBdr>
              <w:tabs>
                <w:tab w:val="clear" w:pos="4153"/>
                <w:tab w:val="clear" w:pos="8306"/>
              </w:tabs>
              <w:adjustRightInd/>
              <w:spacing w:line="440" w:lineRule="exact"/>
              <w:textAlignment w:val="auto"/>
              <w:rPr>
                <w:rFonts w:ascii="宋体" w:hAnsi="宋体"/>
                <w:b/>
                <w:color w:val="000000" w:themeColor="text1"/>
                <w:kern w:val="2"/>
                <w:szCs w:val="24"/>
                <w:highlight w:val="none"/>
                <w14:textFill>
                  <w14:solidFill>
                    <w14:schemeClr w14:val="tx1"/>
                  </w14:solidFill>
                </w14:textFill>
              </w:rPr>
            </w:pPr>
          </w:p>
        </w:tc>
        <w:tc>
          <w:tcPr>
            <w:tcW w:w="1502" w:type="dxa"/>
            <w:vAlign w:val="center"/>
          </w:tcPr>
          <w:p w14:paraId="68613F38">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装订要求</w:t>
            </w:r>
          </w:p>
        </w:tc>
        <w:tc>
          <w:tcPr>
            <w:tcW w:w="7308" w:type="dxa"/>
            <w:vAlign w:val="center"/>
          </w:tcPr>
          <w:p w14:paraId="0B55B709">
            <w:pPr>
              <w:pStyle w:val="98"/>
              <w:pBdr>
                <w:bottom w:val="none" w:color="auto" w:sz="0" w:space="0"/>
              </w:pBdr>
              <w:tabs>
                <w:tab w:val="clear" w:pos="4153"/>
                <w:tab w:val="clear" w:pos="8306"/>
              </w:tabs>
              <w:adjustRightInd/>
              <w:spacing w:line="440" w:lineRule="exact"/>
              <w:jc w:val="both"/>
              <w:textAlignment w:val="auto"/>
              <w:rPr>
                <w:rFonts w:hint="eastAsia" w:ascii="宋体" w:hAnsi="宋体"/>
                <w:color w:val="000000" w:themeColor="text1"/>
                <w:szCs w:val="24"/>
                <w:highlight w:val="none"/>
                <w:lang w:val="en-US"/>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正本、副本单独进行胶装，电子档（U盘）随</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lang w:eastAsia="zh-CN"/>
                <w14:textFill>
                  <w14:solidFill>
                    <w14:schemeClr w14:val="tx1"/>
                  </w14:solidFill>
                </w14:textFill>
              </w:rPr>
              <w:t>文件</w:t>
            </w:r>
            <w:r>
              <w:rPr>
                <w:rFonts w:hint="eastAsia" w:ascii="宋体" w:hAnsi="宋体"/>
                <w:bCs/>
                <w:color w:val="000000" w:themeColor="text1"/>
                <w:kern w:val="2"/>
                <w:szCs w:val="24"/>
                <w:highlight w:val="none"/>
                <w14:textFill>
                  <w14:solidFill>
                    <w14:schemeClr w14:val="tx1"/>
                  </w14:solidFill>
                </w14:textFill>
              </w:rPr>
              <w:t>一起封装</w:t>
            </w:r>
            <w:r>
              <w:rPr>
                <w:rFonts w:hint="eastAsia" w:ascii="宋体" w:hAnsi="宋体"/>
                <w:bCs/>
                <w:color w:val="000000" w:themeColor="text1"/>
                <w:kern w:val="2"/>
                <w:szCs w:val="24"/>
                <w:highlight w:val="none"/>
                <w:lang w:eastAsia="zh-CN"/>
                <w14:textFill>
                  <w14:solidFill>
                    <w14:schemeClr w14:val="tx1"/>
                  </w14:solidFill>
                </w14:textFill>
              </w:rPr>
              <w:t>。</w:t>
            </w:r>
            <w:r>
              <w:rPr>
                <w:rFonts w:hint="eastAsia" w:ascii="宋体" w:hAnsi="宋体"/>
                <w:bCs/>
                <w:color w:val="000000" w:themeColor="text1"/>
                <w:kern w:val="2"/>
                <w:szCs w:val="24"/>
                <w:highlight w:val="none"/>
                <w:lang w:eastAsia="zh-CN"/>
                <w14:textFill>
                  <w14:solidFill>
                    <w14:schemeClr w14:val="tx1"/>
                  </w14:solidFill>
                </w14:textFill>
              </w:rPr>
              <w:br w:type="textWrapping"/>
            </w:r>
            <w:r>
              <w:rPr>
                <w:rFonts w:hint="eastAsia" w:ascii="宋体" w:hAnsi="宋体"/>
                <w:color w:val="000000" w:themeColor="text1"/>
                <w:szCs w:val="24"/>
                <w:highlight w:val="none"/>
                <w:lang w:val="en-US"/>
                <w14:textFill>
                  <w14:solidFill>
                    <w14:schemeClr w14:val="tx1"/>
                  </w14:solidFill>
                </w14:textFill>
              </w:rPr>
              <w:t>备注：</w:t>
            </w:r>
          </w:p>
          <w:p w14:paraId="6BFB74D1">
            <w:pPr>
              <w:pStyle w:val="98"/>
              <w:pBdr>
                <w:bottom w:val="none" w:color="auto" w:sz="0" w:space="0"/>
              </w:pBdr>
              <w:tabs>
                <w:tab w:val="clear" w:pos="4153"/>
                <w:tab w:val="clear" w:pos="8306"/>
              </w:tabs>
              <w:adjustRightInd/>
              <w:spacing w:line="440" w:lineRule="exact"/>
              <w:jc w:val="both"/>
              <w:textAlignment w:val="auto"/>
              <w:rPr>
                <w:rFonts w:hint="eastAsia" w:ascii="宋体" w:hAnsi="宋体"/>
                <w:b w:val="0"/>
                <w:bCs w:val="0"/>
                <w:color w:val="000000" w:themeColor="text1"/>
                <w:szCs w:val="24"/>
                <w:highlight w:val="none"/>
                <w:lang w:val="en-US"/>
                <w14:textFill>
                  <w14:solidFill>
                    <w14:schemeClr w14:val="tx1"/>
                  </w14:solidFill>
                </w14:textFill>
              </w:rPr>
            </w:pPr>
            <w:r>
              <w:rPr>
                <w:rFonts w:hint="eastAsia" w:ascii="宋体" w:hAnsi="宋体"/>
                <w:b w:val="0"/>
                <w:bCs w:val="0"/>
                <w:color w:val="000000" w:themeColor="text1"/>
                <w:szCs w:val="24"/>
                <w:highlight w:val="none"/>
                <w:lang w:val="en-US"/>
                <w14:textFill>
                  <w14:solidFill>
                    <w14:schemeClr w14:val="tx1"/>
                  </w14:solidFill>
                </w14:textFill>
              </w:rPr>
              <w:t>1、如果</w:t>
            </w:r>
            <w:r>
              <w:rPr>
                <w:rFonts w:hint="eastAsia" w:ascii="宋体" w:hAnsi="宋体"/>
                <w:b w:val="0"/>
                <w:bCs w:val="0"/>
                <w:color w:val="000000" w:themeColor="text1"/>
                <w:szCs w:val="24"/>
                <w:highlight w:val="none"/>
                <w:lang w:val="en-US" w:eastAsia="zh-CN"/>
                <w14:textFill>
                  <w14:solidFill>
                    <w14:schemeClr w14:val="tx1"/>
                  </w14:solidFill>
                </w14:textFill>
              </w:rPr>
              <w:t>响应</w:t>
            </w:r>
            <w:r>
              <w:rPr>
                <w:rFonts w:hint="eastAsia" w:ascii="宋体" w:hAnsi="宋体"/>
                <w:b w:val="0"/>
                <w:bCs w:val="0"/>
                <w:color w:val="000000" w:themeColor="text1"/>
                <w:szCs w:val="24"/>
                <w:highlight w:val="none"/>
                <w:lang w:val="en-US"/>
                <w14:textFill>
                  <w14:solidFill>
                    <w14:schemeClr w14:val="tx1"/>
                  </w14:solidFill>
                </w14:textFill>
              </w:rPr>
              <w:t>文件没有按规定装订、分装、标记和密封，</w:t>
            </w:r>
            <w:r>
              <w:rPr>
                <w:rFonts w:hint="eastAsia" w:ascii="宋体" w:hAnsi="宋体"/>
                <w:b w:val="0"/>
                <w:bCs w:val="0"/>
                <w:color w:val="000000" w:themeColor="text1"/>
                <w:szCs w:val="24"/>
                <w:highlight w:val="none"/>
                <w:lang w:val="en-US" w:eastAsia="zh-CN"/>
                <w14:textFill>
                  <w14:solidFill>
                    <w14:schemeClr w14:val="tx1"/>
                  </w14:solidFill>
                </w14:textFill>
              </w:rPr>
              <w:t>采购人</w:t>
            </w:r>
            <w:r>
              <w:rPr>
                <w:rFonts w:hint="eastAsia" w:ascii="宋体" w:hAnsi="宋体"/>
                <w:b w:val="0"/>
                <w:bCs w:val="0"/>
                <w:color w:val="000000" w:themeColor="text1"/>
                <w:szCs w:val="24"/>
                <w:highlight w:val="none"/>
                <w:lang w:val="en-US"/>
                <w14:textFill>
                  <w14:solidFill>
                    <w14:schemeClr w14:val="tx1"/>
                  </w14:solidFill>
                </w14:textFill>
              </w:rPr>
              <w:t>和代理机构不承担提前开封的责任。</w:t>
            </w:r>
          </w:p>
          <w:p w14:paraId="752C17A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 w:val="0"/>
                <w:bCs w:val="0"/>
                <w:color w:val="000000" w:themeColor="text1"/>
                <w:kern w:val="0"/>
                <w:szCs w:val="24"/>
                <w:highlight w:val="none"/>
                <w14:textFill>
                  <w14:solidFill>
                    <w14:schemeClr w14:val="tx1"/>
                  </w14:solidFill>
                </w14:textFill>
              </w:rPr>
              <w:t>2、</w:t>
            </w:r>
            <w:r>
              <w:rPr>
                <w:rFonts w:hint="eastAsia" w:ascii="宋体" w:hAnsi="宋体"/>
                <w:b w:val="0"/>
                <w:bCs w:val="0"/>
                <w:color w:val="000000" w:themeColor="text1"/>
                <w:kern w:val="0"/>
                <w:szCs w:val="24"/>
                <w:highlight w:val="none"/>
                <w:lang w:val="en-US" w:eastAsia="zh-CN"/>
                <w14:textFill>
                  <w14:solidFill>
                    <w14:schemeClr w14:val="tx1"/>
                  </w14:solidFill>
                </w14:textFill>
              </w:rPr>
              <w:t>响应</w:t>
            </w:r>
            <w:r>
              <w:rPr>
                <w:rFonts w:hint="eastAsia" w:ascii="宋体" w:hAnsi="宋体"/>
                <w:b w:val="0"/>
                <w:bCs w:val="0"/>
                <w:color w:val="000000" w:themeColor="text1"/>
                <w:kern w:val="0"/>
                <w:szCs w:val="24"/>
                <w:highlight w:val="none"/>
                <w14:textFill>
                  <w14:solidFill>
                    <w14:schemeClr w14:val="tx1"/>
                  </w14:solidFill>
                </w14:textFill>
              </w:rPr>
              <w:t>文件正本与副本可以包装在一起密封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，也可以分开包装密封</w:t>
            </w:r>
            <w:r>
              <w:rPr>
                <w:rFonts w:hint="eastAsia" w:ascii="宋体" w:hAnsi="宋体"/>
                <w:b w:val="0"/>
                <w:bCs w:val="0"/>
                <w:color w:val="000000" w:themeColor="text1"/>
                <w:kern w:val="0"/>
                <w:szCs w:val="24"/>
                <w:highlight w:val="none"/>
                <w:lang w:val="en-US" w:eastAsia="zh-CN"/>
                <w14:textFill>
                  <w14:solidFill>
                    <w14:schemeClr w14:val="tx1"/>
                  </w14:solidFill>
                </w14:textFill>
              </w:rPr>
              <w:t>递交</w:t>
            </w:r>
            <w:r>
              <w:rPr>
                <w:rFonts w:hint="eastAsia" w:ascii="宋体" w:hAnsi="宋体"/>
                <w:b w:val="0"/>
                <w:bCs w:val="0"/>
                <w:color w:val="000000" w:themeColor="text1"/>
                <w:kern w:val="0"/>
                <w:szCs w:val="24"/>
                <w:highlight w:val="none"/>
                <w14:textFill>
                  <w14:solidFill>
                    <w14:schemeClr w14:val="tx1"/>
                  </w14:solidFill>
                </w14:textFill>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8"/>
              <w:pBdr>
                <w:bottom w:val="none" w:color="auto" w:sz="0" w:space="0"/>
              </w:pBdr>
              <w:tabs>
                <w:tab w:val="clear" w:pos="4153"/>
                <w:tab w:val="clear" w:pos="8306"/>
              </w:tabs>
              <w:adjustRightInd/>
              <w:spacing w:line="440" w:lineRule="exact"/>
              <w:textAlignment w:val="auto"/>
              <w:rPr>
                <w:rFonts w:hint="eastAsia" w:ascii="宋体" w:hAnsi="宋体"/>
                <w:b/>
                <w:color w:val="000000" w:themeColor="text1"/>
                <w:kern w:val="2"/>
                <w:szCs w:val="24"/>
                <w:highlight w:val="none"/>
                <w14:textFill>
                  <w14:solidFill>
                    <w14:schemeClr w14:val="tx1"/>
                  </w14:solidFill>
                </w14:textFill>
              </w:rPr>
            </w:pPr>
          </w:p>
        </w:tc>
        <w:tc>
          <w:tcPr>
            <w:tcW w:w="1502" w:type="dxa"/>
            <w:vAlign w:val="center"/>
          </w:tcPr>
          <w:p w14:paraId="5C79DCAB">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封套上应载明的信息</w:t>
            </w:r>
          </w:p>
        </w:tc>
        <w:tc>
          <w:tcPr>
            <w:tcW w:w="7308" w:type="dxa"/>
            <w:vAlign w:val="center"/>
          </w:tcPr>
          <w:p w14:paraId="556B186B">
            <w:pPr>
              <w:spacing w:line="56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shd w:val="clear" w:color="auto" w:fill="FFFFFF"/>
                <w:lang w:bidi="ar"/>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bidi="ar"/>
                <w14:textFill>
                  <w14:solidFill>
                    <w14:schemeClr w14:val="tx1"/>
                  </w14:solidFill>
                </w14:textFill>
              </w:rPr>
              <w:t>项目</w:t>
            </w:r>
            <w:r>
              <w:rPr>
                <w:rFonts w:hint="eastAsia" w:ascii="宋体" w:hAnsi="宋体" w:cs="宋体"/>
                <w:color w:val="000000" w:themeColor="text1"/>
                <w:sz w:val="24"/>
                <w:szCs w:val="24"/>
                <w:highlight w:val="none"/>
                <w:shd w:val="clear" w:color="auto" w:fill="FFFFFF"/>
                <w:lang w:val="en-US" w:eastAsia="zh-CN" w:bidi="ar"/>
                <w14:textFill>
                  <w14:solidFill>
                    <w14:schemeClr w14:val="tx1"/>
                  </w14:solidFill>
                </w14:textFill>
              </w:rPr>
              <w:t>响应</w:t>
            </w:r>
            <w:r>
              <w:rPr>
                <w:rFonts w:hint="eastAsia" w:ascii="宋体" w:hAnsi="宋体"/>
                <w:color w:val="000000" w:themeColor="text1"/>
                <w:sz w:val="24"/>
                <w:szCs w:val="24"/>
                <w:highlight w:val="none"/>
                <w14:textFill>
                  <w14:solidFill>
                    <w14:schemeClr w14:val="tx1"/>
                  </w14:solidFill>
                </w14:textFill>
              </w:rPr>
              <w:t>文件</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3EEC0974">
            <w:pPr>
              <w:pStyle w:val="112"/>
              <w:spacing w:line="480" w:lineRule="exact"/>
              <w:ind w:right="117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eastAsia="zh-CN"/>
                <w14:textFill>
                  <w14:solidFill>
                    <w14:schemeClr w14:val="tx1"/>
                  </w14:solidFill>
                </w14:textFill>
              </w:rPr>
              <w:t>项目编号：</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r>
              <w:rPr>
                <w:rFonts w:hint="eastAsia" w:cs="Times New Roman"/>
                <w:color w:val="000000" w:themeColor="text1"/>
                <w:kern w:val="2"/>
                <w:sz w:val="24"/>
                <w:szCs w:val="24"/>
                <w:highlight w:val="none"/>
                <w:lang w:eastAsia="zh-CN"/>
                <w14:textFill>
                  <w14:solidFill>
                    <w14:schemeClr w14:val="tx1"/>
                  </w14:solidFill>
                </w14:textFill>
              </w:rPr>
              <w:t xml:space="preserve">           </w:t>
            </w:r>
          </w:p>
          <w:p w14:paraId="1D393B3C">
            <w:pPr>
              <w:spacing w:line="480" w:lineRule="exact"/>
              <w:ind w:firstLine="240" w:firstLineChars="1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日</w:t>
            </w:r>
            <w:r>
              <w:rPr>
                <w:rFonts w:ascii="宋体" w:hAnsi="宋体"/>
                <w:color w:val="000000" w:themeColor="text1"/>
                <w:sz w:val="24"/>
                <w:szCs w:val="24"/>
                <w:highlight w:val="none"/>
                <w14:textFill>
                  <w14:solidFill>
                    <w14:schemeClr w14:val="tx1"/>
                  </w14:solidFill>
                </w14:textFill>
              </w:rPr>
              <w:tab/>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时前不得开启</w:t>
            </w:r>
          </w:p>
          <w:p w14:paraId="4D445C9D">
            <w:pPr>
              <w:pStyle w:val="112"/>
              <w:spacing w:line="480" w:lineRule="exact"/>
              <w:ind w:right="2858" w:firstLine="240" w:firstLineChars="100"/>
              <w:rPr>
                <w:rFonts w:cs="Times New Roman"/>
                <w:color w:val="000000" w:themeColor="text1"/>
                <w:kern w:val="2"/>
                <w:sz w:val="24"/>
                <w:szCs w:val="24"/>
                <w:highlight w:val="none"/>
                <w:u w:val="single"/>
                <w:lang w:eastAsia="zh-CN"/>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cs="Times New Roman"/>
                <w:color w:val="000000" w:themeColor="text1"/>
                <w:kern w:val="2"/>
                <w:sz w:val="24"/>
                <w:szCs w:val="24"/>
                <w:highlight w:val="none"/>
                <w:lang w:eastAsia="zh-CN"/>
                <w14:textFill>
                  <w14:solidFill>
                    <w14:schemeClr w14:val="tx1"/>
                  </w14:solidFill>
                </w14:textFill>
              </w:rPr>
              <w:t>名称：</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p w14:paraId="37AA7227">
            <w:pPr>
              <w:pStyle w:val="98"/>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cs="Times New Roman"/>
                <w:color w:val="000000" w:themeColor="text1"/>
                <w:kern w:val="2"/>
                <w:sz w:val="24"/>
                <w:szCs w:val="24"/>
                <w:highlight w:val="none"/>
                <w:lang w:val="en-US" w:eastAsia="zh-CN"/>
                <w14:textFill>
                  <w14:solidFill>
                    <w14:schemeClr w14:val="tx1"/>
                  </w14:solidFill>
                </w14:textFill>
              </w:rPr>
              <w:t>供应商</w:t>
            </w:r>
            <w:r>
              <w:rPr>
                <w:rFonts w:hint="eastAsia" w:ascii="宋体" w:hAnsi="宋体"/>
                <w:color w:val="000000" w:themeColor="text1"/>
                <w:kern w:val="2"/>
                <w:szCs w:val="24"/>
                <w:highlight w:val="none"/>
                <w14:textFill>
                  <w14:solidFill>
                    <w14:schemeClr w14:val="tx1"/>
                  </w14:solidFill>
                </w14:textFill>
              </w:rPr>
              <w:t>地址：</w:t>
            </w:r>
            <w:r>
              <w:rPr>
                <w:rFonts w:hint="eastAsia" w:cs="Times New Roman"/>
                <w:color w:val="000000" w:themeColor="text1"/>
                <w:kern w:val="2"/>
                <w:sz w:val="24"/>
                <w:szCs w:val="24"/>
                <w:highlight w:val="none"/>
                <w:u w:val="single"/>
                <w:lang w:eastAsia="zh-CN"/>
                <w14:textFill>
                  <w14:solidFill>
                    <w14:schemeClr w14:val="tx1"/>
                  </w14:solidFill>
                </w14:textFill>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16</w:t>
            </w:r>
          </w:p>
        </w:tc>
        <w:tc>
          <w:tcPr>
            <w:tcW w:w="1502" w:type="dxa"/>
            <w:vAlign w:val="center"/>
          </w:tcPr>
          <w:p w14:paraId="497E667F">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递交响应文件注意事项</w:t>
            </w:r>
          </w:p>
        </w:tc>
        <w:tc>
          <w:tcPr>
            <w:tcW w:w="7308" w:type="dxa"/>
            <w:vAlign w:val="center"/>
          </w:tcPr>
          <w:p w14:paraId="1C5F0402">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17</w:t>
            </w:r>
          </w:p>
        </w:tc>
        <w:tc>
          <w:tcPr>
            <w:tcW w:w="1502" w:type="dxa"/>
            <w:vAlign w:val="center"/>
          </w:tcPr>
          <w:p w14:paraId="4C888842">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文件递交截止时间、开标时间和地点</w:t>
            </w:r>
          </w:p>
        </w:tc>
        <w:tc>
          <w:tcPr>
            <w:tcW w:w="7308" w:type="dxa"/>
            <w:vAlign w:val="center"/>
          </w:tcPr>
          <w:p w14:paraId="49FA9231">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000000" w:themeColor="text1"/>
                <w:kern w:val="2"/>
                <w:szCs w:val="24"/>
                <w:highlight w:val="none"/>
                <w:lang w:val="en-US" w:eastAsia="zh-CN"/>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1、时间：</w:t>
            </w:r>
            <w:r>
              <w:rPr>
                <w:rFonts w:hint="eastAsia" w:ascii="宋体" w:hAnsi="宋体"/>
                <w:bCs/>
                <w:color w:val="000000" w:themeColor="text1"/>
                <w:kern w:val="2"/>
                <w:szCs w:val="24"/>
                <w:highlight w:val="none"/>
                <w:lang w:val="en-US" w:eastAsia="zh-CN"/>
                <w14:textFill>
                  <w14:solidFill>
                    <w14:schemeClr w14:val="tx1"/>
                  </w14:solidFill>
                </w14:textFill>
              </w:rPr>
              <w:t>同公告中递交截止时间。</w:t>
            </w:r>
          </w:p>
          <w:p w14:paraId="4B82AC07">
            <w:pPr>
              <w:pStyle w:val="98"/>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2、地点：同公告中</w:t>
            </w:r>
            <w:r>
              <w:rPr>
                <w:rFonts w:hint="eastAsia" w:ascii="宋体" w:hAnsi="宋体"/>
                <w:bCs/>
                <w:color w:val="000000" w:themeColor="text1"/>
                <w:kern w:val="2"/>
                <w:szCs w:val="24"/>
                <w:highlight w:val="none"/>
                <w:lang w:val="en-US" w:eastAsia="zh-CN"/>
                <w14:textFill>
                  <w14:solidFill>
                    <w14:schemeClr w14:val="tx1"/>
                  </w14:solidFill>
                </w14:textFill>
              </w:rPr>
              <w:t>地点</w:t>
            </w:r>
            <w:r>
              <w:rPr>
                <w:rFonts w:hint="eastAsia" w:ascii="宋体" w:hAnsi="宋体"/>
                <w:bCs/>
                <w:color w:val="000000" w:themeColor="text1"/>
                <w:kern w:val="2"/>
                <w:szCs w:val="24"/>
                <w:highlight w:val="none"/>
                <w14:textFill>
                  <w14:solidFill>
                    <w14:schemeClr w14:val="tx1"/>
                  </w14:solidFill>
                </w14:textFill>
              </w:rPr>
              <w:t>。</w:t>
            </w:r>
          </w:p>
          <w:p w14:paraId="28764874">
            <w:pPr>
              <w:pStyle w:val="98"/>
              <w:pBdr>
                <w:bottom w:val="none" w:color="auto" w:sz="0" w:space="0"/>
              </w:pBdr>
              <w:tabs>
                <w:tab w:val="clear" w:pos="4153"/>
                <w:tab w:val="clear" w:pos="8306"/>
              </w:tabs>
              <w:adjustRightInd/>
              <w:spacing w:line="440" w:lineRule="exact"/>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w:t>
            </w:r>
            <w:r>
              <w:rPr>
                <w:rFonts w:hint="eastAsia" w:ascii="宋体" w:hAnsi="宋体"/>
                <w:bCs/>
                <w:color w:val="000000" w:themeColor="text1"/>
                <w:kern w:val="2"/>
                <w:szCs w:val="24"/>
                <w:highlight w:val="none"/>
                <w:lang w:val="en-US" w:eastAsia="zh-CN"/>
                <w14:textFill>
                  <w14:solidFill>
                    <w14:schemeClr w14:val="tx1"/>
                  </w14:solidFill>
                </w14:textFill>
              </w:rPr>
              <w:t>响应</w:t>
            </w:r>
            <w:r>
              <w:rPr>
                <w:rFonts w:hint="eastAsia" w:ascii="宋体" w:hAnsi="宋体"/>
                <w:bCs/>
                <w:color w:val="000000" w:themeColor="text1"/>
                <w:kern w:val="2"/>
                <w:szCs w:val="24"/>
                <w:highlight w:val="none"/>
                <w14:textFill>
                  <w14:solidFill>
                    <w14:schemeClr w14:val="tx1"/>
                  </w14:solidFill>
                </w14:textFill>
              </w:rPr>
              <w:t>文件</w:t>
            </w:r>
            <w:r>
              <w:rPr>
                <w:rFonts w:hint="eastAsia" w:ascii="宋体" w:hAnsi="宋体"/>
                <w:bCs/>
                <w:color w:val="000000" w:themeColor="text1"/>
                <w:kern w:val="2"/>
                <w:szCs w:val="24"/>
                <w:highlight w:val="none"/>
                <w:lang w:val="en-US" w:eastAsia="zh-CN"/>
                <w14:textFill>
                  <w14:solidFill>
                    <w14:schemeClr w14:val="tx1"/>
                  </w14:solidFill>
                </w14:textFill>
              </w:rPr>
              <w:t>递交</w:t>
            </w:r>
            <w:r>
              <w:rPr>
                <w:rFonts w:hint="eastAsia" w:ascii="宋体" w:hAnsi="宋体"/>
                <w:bCs/>
                <w:color w:val="000000" w:themeColor="text1"/>
                <w:kern w:val="2"/>
                <w:szCs w:val="24"/>
                <w:highlight w:val="none"/>
                <w14:textFill>
                  <w14:solidFill>
                    <w14:schemeClr w14:val="tx1"/>
                  </w14:solidFill>
                </w14:textFill>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18</w:t>
            </w:r>
          </w:p>
        </w:tc>
        <w:tc>
          <w:tcPr>
            <w:tcW w:w="1502" w:type="dxa"/>
            <w:vAlign w:val="center"/>
          </w:tcPr>
          <w:p w14:paraId="66CBC49A">
            <w:pPr>
              <w:pStyle w:val="9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Cs w:val="24"/>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中标（成交）通知书发出的形式</w:t>
            </w:r>
          </w:p>
        </w:tc>
        <w:tc>
          <w:tcPr>
            <w:tcW w:w="7308" w:type="dxa"/>
            <w:vAlign w:val="center"/>
          </w:tcPr>
          <w:p w14:paraId="0872BAB7">
            <w:pPr>
              <w:snapToGrid w:val="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7FAE1D54">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特别提醒：</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人确定</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后，通过</w:t>
            </w:r>
            <w:r>
              <w:rPr>
                <w:rFonts w:hint="eastAsia"/>
                <w:color w:val="000000" w:themeColor="text1"/>
                <w:highlight w:val="none"/>
                <w:lang w:val="en-US" w:eastAsia="zh-CN"/>
                <w14:textFill>
                  <w14:solidFill>
                    <w14:schemeClr w14:val="tx1"/>
                  </w14:solidFill>
                </w14:textFill>
              </w:rPr>
              <w:t>书面形式</w:t>
            </w:r>
            <w:r>
              <w:rPr>
                <w:rFonts w:hint="eastAsia" w:ascii="Times New Roman" w:hAnsi="Times New Roman"/>
                <w:color w:val="000000" w:themeColor="text1"/>
                <w:highlight w:val="none"/>
                <w14:textFill>
                  <w14:solidFill>
                    <w14:schemeClr w14:val="tx1"/>
                  </w14:solidFill>
                </w14:textFill>
              </w:rPr>
              <w:t>向</w:t>
            </w:r>
            <w:r>
              <w:rPr>
                <w:rFonts w:hint="eastAsia"/>
                <w:color w:val="000000" w:themeColor="text1"/>
                <w:highlight w:val="none"/>
                <w:lang w:eastAsia="zh-CN"/>
                <w14:textFill>
                  <w14:solidFill>
                    <w14:schemeClr w14:val="tx1"/>
                  </w14:solidFill>
                </w14:textFill>
              </w:rPr>
              <w:t>供应商</w:t>
            </w:r>
            <w:r>
              <w:rPr>
                <w:rFonts w:hint="eastAsia" w:ascii="Times New Roman" w:hAnsi="Times New Roman"/>
                <w:color w:val="000000" w:themeColor="text1"/>
                <w:highlight w:val="none"/>
                <w14:textFill>
                  <w14:solidFill>
                    <w14:schemeClr w14:val="tx1"/>
                  </w14:solidFill>
                </w14:textFill>
              </w:rPr>
              <w:t>发出中标（成交）通知书，中标（成交）通知书发出即视为送达。供应商应主动</w:t>
            </w:r>
            <w:r>
              <w:rPr>
                <w:rFonts w:hint="eastAsia"/>
                <w:color w:val="000000" w:themeColor="text1"/>
                <w:highlight w:val="none"/>
                <w:lang w:val="en-US" w:eastAsia="zh-CN"/>
                <w14:textFill>
                  <w14:solidFill>
                    <w14:schemeClr w14:val="tx1"/>
                  </w14:solidFill>
                </w14:textFill>
              </w:rPr>
              <w:t>接收</w:t>
            </w:r>
            <w:r>
              <w:rPr>
                <w:rFonts w:hint="eastAsia" w:ascii="Times New Roman" w:hAnsi="Times New Roman"/>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人和</w:t>
            </w:r>
            <w:r>
              <w:rPr>
                <w:rFonts w:hint="eastAsia"/>
                <w:color w:val="000000" w:themeColor="text1"/>
                <w:highlight w:val="none"/>
                <w:lang w:val="en-US" w:eastAsia="zh-CN"/>
                <w14:textFill>
                  <w14:solidFill>
                    <w14:schemeClr w14:val="tx1"/>
                  </w14:solidFill>
                </w14:textFill>
              </w:rPr>
              <w:t>采购</w:t>
            </w:r>
            <w:r>
              <w:rPr>
                <w:rFonts w:hint="eastAsia" w:ascii="Times New Roman" w:hAnsi="Times New Roman"/>
                <w:color w:val="000000" w:themeColor="text1"/>
                <w:highlight w:val="none"/>
                <w14:textFill>
                  <w14:solidFill>
                    <w14:schemeClr w14:val="tx1"/>
                  </w14:solidFill>
                </w14:textFill>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8"/>
              <w:pBdr>
                <w:bottom w:val="none" w:color="auto" w:sz="0" w:space="0"/>
              </w:pBdr>
              <w:tabs>
                <w:tab w:val="clear" w:pos="4153"/>
                <w:tab w:val="clear" w:pos="8306"/>
              </w:tabs>
              <w:adjustRightInd/>
              <w:spacing w:line="460" w:lineRule="exact"/>
              <w:textAlignment w:val="auto"/>
              <w:rPr>
                <w:rFonts w:hint="default" w:ascii="宋体" w:hAnsi="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19</w:t>
            </w:r>
          </w:p>
        </w:tc>
        <w:tc>
          <w:tcPr>
            <w:tcW w:w="1502" w:type="dxa"/>
            <w:vAlign w:val="center"/>
          </w:tcPr>
          <w:p w14:paraId="6E95CAC1">
            <w:pPr>
              <w:pStyle w:val="98"/>
              <w:pBdr>
                <w:bottom w:val="none" w:color="auto" w:sz="0" w:space="0"/>
              </w:pBdr>
              <w:tabs>
                <w:tab w:val="clear" w:pos="4153"/>
                <w:tab w:val="clear" w:pos="8306"/>
              </w:tabs>
              <w:adjustRightInd/>
              <w:spacing w:line="440" w:lineRule="exac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参照财政部《关于推动解决政府采购异常低价问题的通知》（财库〔2026〕2号），评审中出现下列情形之一的，</w:t>
            </w:r>
            <w:r>
              <w:rPr>
                <w:rFonts w:hint="eastAsia" w:ascii="宋体" w:hAnsi="宋体" w:cs="宋体"/>
                <w:color w:val="000000" w:themeColor="text1"/>
                <w:highlight w:val="none"/>
                <w:lang w:val="en-US" w:eastAsia="zh-CN"/>
                <w14:textFill>
                  <w14:solidFill>
                    <w14:schemeClr w14:val="tx1"/>
                  </w14:solidFill>
                </w14:textFill>
              </w:rPr>
              <w:t>谈判小组</w:t>
            </w:r>
            <w:r>
              <w:rPr>
                <w:rFonts w:hint="eastAsia" w:ascii="宋体" w:hAnsi="宋体" w:eastAsia="宋体" w:cs="宋体"/>
                <w:color w:val="000000" w:themeColor="text1"/>
                <w:highlight w:val="none"/>
                <w:lang w:val="en-US" w:eastAsia="zh-CN"/>
                <w14:textFill>
                  <w14:solidFill>
                    <w14:schemeClr w14:val="tx1"/>
                  </w14:solidFill>
                </w14:textFill>
              </w:rPr>
              <w:t>应当启动异常低价</w:t>
            </w:r>
            <w:r>
              <w:rPr>
                <w:rFonts w:hint="eastAsia" w:ascii="宋体" w:hAnsi="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lang w:val="en-US" w:eastAsia="zh-CN"/>
                <w14:textFill>
                  <w14:solidFill>
                    <w14:schemeClr w14:val="tx1"/>
                  </w14:solidFill>
                </w14:textFill>
              </w:rPr>
              <w:t>审查程序：</w:t>
            </w:r>
          </w:p>
          <w:p w14:paraId="51F3C831">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1、响应报价低于全部通过符合性审查供应商响应报价平均值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%的，即响应报价&lt;全部通过符合性审查供应商响应报价平均值×</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75689FB9">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2.响应报价低于通过符合性审查的次低报价供应商响应报价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%的，即响应报价&lt;通过符合性审查的次低报价供应商响应报价×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val="en-US" w:eastAsia="zh-CN"/>
                <w14:textFill>
                  <w14:solidFill>
                    <w14:schemeClr w14:val="tx1"/>
                  </w14:solidFill>
                </w14:textFill>
              </w:rPr>
              <w:t>%；（比例范围：50%-65%）</w:t>
            </w:r>
          </w:p>
          <w:p w14:paraId="0895D8A2">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3.响应报价低于采购项目最高限价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%的，即响应报价&lt;采购项目最高限价×</w:t>
            </w:r>
            <w:r>
              <w:rPr>
                <w:rFonts w:hint="eastAsia" w:ascii="宋体" w:hAnsi="宋体" w:cs="宋体"/>
                <w:b/>
                <w:bCs/>
                <w:color w:val="000000" w:themeColor="text1"/>
                <w:highlight w:val="none"/>
                <w:u w:val="single"/>
                <w:lang w:val="en-US" w:eastAsia="zh-CN"/>
                <w14:textFill>
                  <w14:solidFill>
                    <w14:schemeClr w14:val="tx1"/>
                  </w14:solidFill>
                </w14:textFill>
              </w:rPr>
              <w:t>65</w:t>
            </w:r>
            <w:r>
              <w:rPr>
                <w:rFonts w:hint="eastAsia" w:ascii="宋体" w:hAnsi="宋体" w:eastAsia="宋体" w:cs="宋体"/>
                <w:b/>
                <w:bCs/>
                <w:color w:val="000000" w:themeColor="text1"/>
                <w:highlight w:val="none"/>
                <w:lang w:val="en-US" w:eastAsia="zh-CN"/>
                <w14:textFill>
                  <w14:solidFill>
                    <w14:schemeClr w14:val="tx1"/>
                  </w14:solidFill>
                </w14:textFill>
              </w:rPr>
              <w:t>%；（比例范围：45%-65%）</w:t>
            </w:r>
          </w:p>
          <w:p w14:paraId="10162814">
            <w:pPr>
              <w:pStyle w:val="98"/>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4.谈判小组基于专业判断，认为供应商报价过低，有可能影响</w:t>
            </w:r>
            <w:r>
              <w:rPr>
                <w:rFonts w:hint="eastAsia" w:ascii="宋体" w:hAnsi="宋体" w:cs="宋体"/>
                <w:color w:val="000000" w:themeColor="text1"/>
                <w:highlight w:val="none"/>
                <w:lang w:val="en-US" w:eastAsia="zh-CN"/>
                <w14:textFill>
                  <w14:solidFill>
                    <w14:schemeClr w14:val="tx1"/>
                  </w14:solidFill>
                </w14:textFill>
              </w:rPr>
              <w:t>服务</w:t>
            </w:r>
            <w:r>
              <w:rPr>
                <w:rFonts w:hint="eastAsia" w:ascii="宋体" w:hAnsi="宋体" w:eastAsia="宋体" w:cs="宋体"/>
                <w:color w:val="000000" w:themeColor="text1"/>
                <w:highlight w:val="none"/>
                <w:lang w:val="en-US" w:eastAsia="zh-CN"/>
                <w14:textFill>
                  <w14:solidFill>
                    <w14:schemeClr w14:val="tx1"/>
                  </w14:solidFill>
                </w14:textFill>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61254C45">
            <w:pPr>
              <w:pStyle w:val="98"/>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8"/>
              <w:pBdr>
                <w:bottom w:val="none" w:color="auto" w:sz="0" w:space="0"/>
              </w:pBdr>
              <w:tabs>
                <w:tab w:val="clear" w:pos="4153"/>
                <w:tab w:val="clear" w:pos="8306"/>
              </w:tabs>
              <w:adjustRightInd/>
              <w:spacing w:line="440" w:lineRule="exact"/>
              <w:textAlignment w:val="auto"/>
              <w:rPr>
                <w:rFonts w:hint="default" w:ascii="宋体" w:hAnsi="宋体" w:eastAsia="宋体"/>
                <w:b/>
                <w:color w:val="000000" w:themeColor="text1"/>
                <w:kern w:val="2"/>
                <w:szCs w:val="24"/>
                <w:highlight w:val="none"/>
                <w:lang w:val="en-US" w:eastAsia="zh-CN"/>
                <w14:textFill>
                  <w14:solidFill>
                    <w14:schemeClr w14:val="tx1"/>
                  </w14:solidFill>
                </w14:textFill>
              </w:rPr>
            </w:pPr>
            <w:r>
              <w:rPr>
                <w:rFonts w:hint="eastAsia" w:ascii="宋体" w:hAnsi="宋体"/>
                <w:b/>
                <w:color w:val="000000" w:themeColor="text1"/>
                <w:kern w:val="2"/>
                <w:szCs w:val="24"/>
                <w:highlight w:val="none"/>
                <w:lang w:val="en-US" w:eastAsia="zh-CN"/>
                <w14:textFill>
                  <w14:solidFill>
                    <w14:schemeClr w14:val="tx1"/>
                  </w14:solidFill>
                </w14:textFill>
              </w:rPr>
              <w:t>20</w:t>
            </w:r>
          </w:p>
        </w:tc>
        <w:tc>
          <w:tcPr>
            <w:tcW w:w="1502" w:type="dxa"/>
            <w:vAlign w:val="center"/>
          </w:tcPr>
          <w:p w14:paraId="71CCA9C5">
            <w:pPr>
              <w:pStyle w:val="98"/>
              <w:pBdr>
                <w:bottom w:val="none" w:color="auto" w:sz="0" w:space="0"/>
              </w:pBdr>
              <w:tabs>
                <w:tab w:val="clear" w:pos="4153"/>
                <w:tab w:val="clear" w:pos="8306"/>
              </w:tabs>
              <w:adjustRightInd/>
              <w:spacing w:line="440" w:lineRule="exac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备注</w:t>
            </w:r>
          </w:p>
        </w:tc>
        <w:tc>
          <w:tcPr>
            <w:tcW w:w="7308" w:type="dxa"/>
            <w:vAlign w:val="center"/>
          </w:tcPr>
          <w:p w14:paraId="19C6444B">
            <w:pPr>
              <w:pStyle w:val="98"/>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color w:val="000000" w:themeColor="text1"/>
          <w:sz w:val="24"/>
          <w:szCs w:val="24"/>
          <w:highlight w:val="none"/>
          <w14:textFill>
            <w14:solidFill>
              <w14:schemeClr w14:val="tx1"/>
            </w14:solidFill>
          </w14:textFill>
        </w:rPr>
      </w:pPr>
    </w:p>
    <w:p w14:paraId="3D1C9C86">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bookmarkEnd w:id="64"/>
    <w:bookmarkEnd w:id="65"/>
    <w:bookmarkEnd w:id="66"/>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color w:val="000000" w:themeColor="text1"/>
          <w:sz w:val="24"/>
          <w:szCs w:val="24"/>
          <w:highlight w:val="none"/>
          <w14:textFill>
            <w14:solidFill>
              <w14:schemeClr w14:val="tx1"/>
            </w14:solidFill>
          </w14:textFill>
        </w:rPr>
      </w:pPr>
      <w:bookmarkStart w:id="67" w:name="_Toc7878"/>
      <w:bookmarkStart w:id="68" w:name="_Toc24713"/>
      <w:bookmarkStart w:id="69" w:name="_Toc216158630"/>
      <w:r>
        <w:rPr>
          <w:rFonts w:hint="eastAsia" w:ascii="宋体" w:hAnsi="宋体" w:eastAsia="宋体" w:cs="宋体"/>
          <w:color w:val="000000" w:themeColor="text1"/>
          <w:sz w:val="24"/>
          <w:szCs w:val="24"/>
          <w:highlight w:val="none"/>
          <w14:textFill>
            <w14:solidFill>
              <w14:schemeClr w14:val="tx1"/>
            </w14:solidFill>
          </w14:textFill>
        </w:rPr>
        <w:t>（二）供应商资格</w:t>
      </w:r>
      <w:bookmarkEnd w:id="67"/>
      <w:bookmarkEnd w:id="68"/>
    </w:p>
    <w:p w14:paraId="68743509">
      <w:pPr>
        <w:pStyle w:val="33"/>
        <w:pageBreakBefore w:val="0"/>
        <w:kinsoku/>
        <w:wordWrap/>
        <w:overflowPunct/>
        <w:topLinePunct w:val="0"/>
        <w:autoSpaceDE/>
        <w:autoSpaceDN/>
        <w:bidi w:val="0"/>
        <w:snapToGrid/>
        <w:spacing w:after="0" w:line="490" w:lineRule="exact"/>
        <w:ind w:firstLine="480" w:firstLineChars="200"/>
        <w:jc w:val="left"/>
        <w:rPr>
          <w:rFonts w:hint="eastAsia" w:eastAsia="宋体"/>
          <w:color w:val="000000" w:themeColor="text1"/>
          <w:highlight w:val="none"/>
          <w:lang w:val="en-US" w:eastAsia="zh-CN"/>
          <w14:textFill>
            <w14:solidFill>
              <w14:schemeClr w14:val="tx1"/>
            </w14:solidFill>
          </w14:textFill>
        </w:rPr>
      </w:pPr>
      <w:bookmarkStart w:id="70" w:name="_Toc216158625"/>
      <w:bookmarkStart w:id="71" w:name="_Toc438648662"/>
      <w:bookmarkStart w:id="72" w:name="_Toc363199266"/>
      <w:r>
        <w:rPr>
          <w:rFonts w:hint="eastAsia"/>
          <w:color w:val="000000" w:themeColor="text1"/>
          <w:highlight w:val="none"/>
          <w14:textFill>
            <w14:solidFill>
              <w14:schemeClr w14:val="tx1"/>
            </w14:solidFill>
          </w14:textFill>
        </w:rPr>
        <w:t>见本项目采购公告</w:t>
      </w:r>
      <w:r>
        <w:rPr>
          <w:rFonts w:hint="eastAsia"/>
          <w:color w:val="000000" w:themeColor="text1"/>
          <w:highlight w:val="none"/>
          <w:lang w:eastAsia="zh-CN"/>
          <w14:textFill>
            <w14:solidFill>
              <w14:schemeClr w14:val="tx1"/>
            </w14:solidFill>
          </w14:textFill>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73" w:name="_Toc24432"/>
      <w:bookmarkStart w:id="74" w:name="_Toc27352"/>
      <w:r>
        <w:rPr>
          <w:rFonts w:hint="eastAsia" w:ascii="宋体" w:hAnsi="宋体" w:eastAsia="宋体" w:cs="宋体"/>
          <w:color w:val="000000" w:themeColor="text1"/>
          <w:sz w:val="24"/>
          <w:szCs w:val="24"/>
          <w:highlight w:val="none"/>
          <w14:textFill>
            <w14:solidFill>
              <w14:schemeClr w14:val="tx1"/>
            </w14:solidFill>
          </w14:textFill>
        </w:rPr>
        <w:t>（三）供应商必须</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w:t>
      </w:r>
      <w:r>
        <w:rPr>
          <w:rFonts w:hint="eastAsia" w:ascii="宋体" w:hAnsi="宋体" w:eastAsia="宋体" w:cs="宋体"/>
          <w:color w:val="000000" w:themeColor="text1"/>
          <w:sz w:val="24"/>
          <w:szCs w:val="24"/>
          <w:highlight w:val="none"/>
          <w14:textFill>
            <w14:solidFill>
              <w14:schemeClr w14:val="tx1"/>
            </w14:solidFill>
          </w14:textFill>
        </w:rPr>
        <w:t>的响应文件内容</w:t>
      </w:r>
      <w:bookmarkEnd w:id="70"/>
      <w:bookmarkEnd w:id="71"/>
      <w:bookmarkEnd w:id="72"/>
      <w:bookmarkEnd w:id="73"/>
      <w:bookmarkEnd w:id="74"/>
    </w:p>
    <w:p w14:paraId="3B1EEDFD">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75" w:name="_Toc21125"/>
      <w:bookmarkStart w:id="76" w:name="_Toc15586"/>
      <w:bookmarkStart w:id="77" w:name="（三）供应商必须提交的响应文件内容"/>
      <w:bookmarkStart w:id="78" w:name="（四）响应文件的提交"/>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（四）响应文件的</w:t>
      </w:r>
      <w:bookmarkEnd w:id="75"/>
      <w:bookmarkEnd w:id="76"/>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递交及分数要求</w:t>
      </w:r>
    </w:p>
    <w:bookmarkEnd w:id="77"/>
    <w:bookmarkEnd w:id="78"/>
    <w:p w14:paraId="36484DB1">
      <w:pPr>
        <w:pStyle w:val="3"/>
        <w:spacing w:before="0" w:after="0" w:line="520" w:lineRule="exact"/>
        <w:ind w:firstLine="480" w:firstLineChars="200"/>
        <w:rPr>
          <w:rFonts w:hint="default" w:ascii="宋体" w:hAnsi="宋体" w:eastAsia="宋体" w:cs="宋体"/>
          <w:b w:val="0"/>
          <w:bCs/>
          <w:color w:val="000000" w:themeColor="text1"/>
          <w:sz w:val="24"/>
          <w:szCs w:val="24"/>
          <w:highlight w:val="none"/>
          <w:lang w:val="en-US" w:eastAsia="zh-CN"/>
          <w14:textFill>
            <w14:solidFill>
              <w14:schemeClr w14:val="tx1"/>
            </w14:solidFill>
          </w14:textFill>
        </w:rPr>
      </w:pPr>
      <w:bookmarkStart w:id="79" w:name="_Toc16381"/>
      <w:bookmarkStart w:id="80" w:name="_Toc21368"/>
      <w:bookmarkStart w:id="81" w:name="_Toc16946"/>
      <w:bookmarkStart w:id="82" w:name="_Toc15127"/>
      <w:bookmarkStart w:id="83" w:name="_Toc9203"/>
      <w:bookmarkStart w:id="84" w:name="（五）谈判程序"/>
      <w:r>
        <w:rPr>
          <w:rFonts w:hint="eastAsia" w:ascii="宋体" w:hAnsi="宋体" w:eastAsia="宋体" w:cs="宋体"/>
          <w:b w:val="0"/>
          <w:bCs/>
          <w:color w:val="000000" w:themeColor="text1"/>
          <w:sz w:val="24"/>
          <w:szCs w:val="24"/>
          <w:highlight w:val="none"/>
          <w14:textFill>
            <w14:solidFill>
              <w14:schemeClr w14:val="tx1"/>
            </w14:solidFill>
          </w14:textFill>
        </w:rPr>
        <w:t>1、响应文件的</w:t>
      </w:r>
      <w:bookmarkEnd w:id="79"/>
      <w:bookmarkEnd w:id="80"/>
      <w:bookmarkEnd w:id="81"/>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递交</w:t>
      </w:r>
    </w:p>
    <w:p w14:paraId="5F6550CF">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5" w:name="_Toc27404"/>
      <w:bookmarkStart w:id="86" w:name="_Toc2453"/>
      <w:bookmarkStart w:id="87" w:name="_Toc7230"/>
      <w:r>
        <w:rPr>
          <w:rFonts w:hint="eastAsia" w:ascii="宋体" w:hAnsi="宋体" w:eastAsia="宋体" w:cs="宋体"/>
          <w:b w:val="0"/>
          <w:bCs/>
          <w:color w:val="000000" w:themeColor="text1"/>
          <w:sz w:val="24"/>
          <w:szCs w:val="24"/>
          <w:highlight w:val="none"/>
          <w14:textFill>
            <w14:solidFill>
              <w14:schemeClr w14:val="tx1"/>
            </w14:solidFill>
          </w14:textFill>
        </w:rPr>
        <w:t>2、</w:t>
      </w:r>
      <w:bookmarkEnd w:id="85"/>
      <w:bookmarkEnd w:id="86"/>
      <w:bookmarkEnd w:id="87"/>
      <w:r>
        <w:rPr>
          <w:rFonts w:hint="eastAsia" w:ascii="宋体" w:hAnsi="宋体" w:eastAsia="宋体" w:cs="宋体"/>
          <w:b w:val="0"/>
          <w:bCs/>
          <w:color w:val="000000" w:themeColor="text1"/>
          <w:sz w:val="24"/>
          <w:szCs w:val="24"/>
          <w:highlight w:val="none"/>
          <w14:textFill>
            <w14:solidFill>
              <w14:schemeClr w14:val="tx1"/>
            </w14:solidFill>
          </w14:textFill>
        </w:rPr>
        <w:t>响应文件份数及要求</w:t>
      </w:r>
    </w:p>
    <w:p w14:paraId="7143CB8A">
      <w:pPr>
        <w:pStyle w:val="3"/>
        <w:spacing w:before="0" w:after="0" w:line="52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正本1份、副本2份（纸质标书共计3份），电子档1份（U盘等，电子档仅用于项目备案存档）。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（五）谈判程序</w:t>
      </w:r>
      <w:bookmarkEnd w:id="82"/>
      <w:bookmarkEnd w:id="83"/>
    </w:p>
    <w:bookmarkEnd w:id="84"/>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1、谈判人员是按规定组成的三人或三人以上的谈判小组。</w:t>
      </w:r>
      <w:r>
        <w:rPr>
          <w:rFonts w:hint="eastAsia" w:ascii="宋体" w:hAnsi="宋体" w:eastAsia="宋体" w:cs="Arial"/>
          <w:color w:val="000000" w:themeColor="text1"/>
          <w:sz w:val="24"/>
          <w:szCs w:val="24"/>
          <w:highlight w:val="none"/>
          <w:lang w:val="en-US" w:eastAsia="zh-CN"/>
          <w14:textFill>
            <w14:solidFill>
              <w14:schemeClr w14:val="tx1"/>
            </w14:solidFill>
          </w14:textFill>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bookmarkStart w:id="88" w:name="_Toc1437"/>
      <w:bookmarkStart w:id="89" w:name="_Toc9855"/>
      <w:bookmarkStart w:id="90" w:name="_Toc6912"/>
      <w:r>
        <w:rPr>
          <w:rFonts w:hint="eastAsia" w:ascii="宋体" w:hAnsi="宋体" w:eastAsia="宋体" w:cs="Arial"/>
          <w:color w:val="000000" w:themeColor="text1"/>
          <w:sz w:val="24"/>
          <w:szCs w:val="24"/>
          <w:highlight w:val="none"/>
          <w14:textFill>
            <w14:solidFill>
              <w14:schemeClr w14:val="tx1"/>
            </w14:solidFill>
          </w14:textFill>
        </w:rPr>
        <w:t>5、</w:t>
      </w:r>
      <w:bookmarkEnd w:id="88"/>
      <w:bookmarkEnd w:id="89"/>
      <w:bookmarkEnd w:id="90"/>
      <w:r>
        <w:rPr>
          <w:rFonts w:hint="eastAsia" w:ascii="宋体" w:hAnsi="宋体" w:eastAsia="宋体" w:cs="Arial"/>
          <w:color w:val="000000" w:themeColor="text1"/>
          <w:sz w:val="24"/>
          <w:szCs w:val="24"/>
          <w:highlight w:val="none"/>
          <w14:textFill>
            <w14:solidFill>
              <w14:schemeClr w14:val="tx1"/>
            </w14:solidFill>
          </w14:textFill>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color w:val="000000" w:themeColor="text1"/>
          <w:sz w:val="24"/>
          <w:szCs w:val="24"/>
          <w:highlight w:val="none"/>
          <w:lang w:val="en-US" w:eastAsia="zh-CN"/>
          <w14:textFill>
            <w14:solidFill>
              <w14:schemeClr w14:val="tx1"/>
            </w14:solidFill>
          </w14:textFill>
        </w:rPr>
        <w:t>递交</w:t>
      </w:r>
      <w:r>
        <w:rPr>
          <w:rFonts w:hint="eastAsia" w:ascii="宋体" w:hAnsi="宋体" w:eastAsia="宋体" w:cs="Arial"/>
          <w:color w:val="000000" w:themeColor="text1"/>
          <w:sz w:val="24"/>
          <w:szCs w:val="24"/>
          <w:highlight w:val="none"/>
          <w14:textFill>
            <w14:solidFill>
              <w14:schemeClr w14:val="tx1"/>
            </w14:solidFill>
          </w14:textFill>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1" w:name="_Toc22225"/>
      <w:bookmarkStart w:id="92" w:name="_Toc16969"/>
      <w:bookmarkStart w:id="93" w:name="（六）评审及异常情况处理"/>
      <w:r>
        <w:rPr>
          <w:rFonts w:hint="eastAsia" w:ascii="宋体" w:hAnsi="宋体" w:eastAsia="宋体" w:cs="宋体"/>
          <w:color w:val="000000" w:themeColor="text1"/>
          <w:sz w:val="24"/>
          <w:szCs w:val="24"/>
          <w:highlight w:val="none"/>
          <w14:textFill>
            <w14:solidFill>
              <w14:schemeClr w14:val="tx1"/>
            </w14:solidFill>
          </w14:textFill>
        </w:rPr>
        <w:t>（六）评审及异常情况处理</w:t>
      </w:r>
      <w:bookmarkEnd w:id="91"/>
      <w:bookmarkEnd w:id="92"/>
    </w:p>
    <w:bookmarkEnd w:id="93"/>
    <w:p w14:paraId="12C60C87">
      <w:pPr>
        <w:pageBreakBefore w:val="0"/>
        <w:kinsoku/>
        <w:wordWrap/>
        <w:overflowPunct/>
        <w:topLinePunct w:val="0"/>
        <w:autoSpaceDE/>
        <w:autoSpaceDN/>
        <w:bidi w:val="0"/>
        <w:snapToGrid/>
        <w:spacing w:line="490" w:lineRule="exact"/>
        <w:ind w:firstLine="480" w:firstLineChars="200"/>
        <w:rPr>
          <w:rFonts w:ascii="宋体" w:hAnsi="宋体" w:cs="Arial"/>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Arial"/>
          <w:color w:val="000000" w:themeColor="text1"/>
          <w:sz w:val="24"/>
          <w:szCs w:val="24"/>
          <w:highlight w:val="none"/>
          <w14:textFill>
            <w14:solidFill>
              <w14:schemeClr w14:val="tx1"/>
            </w14:solidFill>
          </w14:textFill>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3、重新组织谈判，采购单位将通过</w:t>
      </w:r>
      <w:r>
        <w:rPr>
          <w:rFonts w:hint="eastAsia" w:ascii="宋体" w:hAnsi="宋体"/>
          <w:color w:val="000000" w:themeColor="text1"/>
          <w:sz w:val="24"/>
          <w:szCs w:val="24"/>
          <w:highlight w:val="none"/>
          <w:lang w:val="en-US" w:eastAsia="zh-CN"/>
          <w14:textFill>
            <w14:solidFill>
              <w14:schemeClr w14:val="tx1"/>
            </w14:solidFill>
          </w14:textFill>
        </w:rPr>
        <w:t>院内官网平台</w:t>
      </w:r>
      <w:r>
        <w:rPr>
          <w:rFonts w:hint="eastAsia" w:ascii="宋体" w:hAnsi="宋体" w:cs="Arial"/>
          <w:color w:val="000000" w:themeColor="text1"/>
          <w:sz w:val="24"/>
          <w:szCs w:val="24"/>
          <w:highlight w:val="none"/>
          <w14:textFill>
            <w14:solidFill>
              <w14:schemeClr w14:val="tx1"/>
            </w14:solidFill>
          </w14:textFill>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94" w:name="_Toc18914"/>
      <w:bookmarkStart w:id="95" w:name="_Toc31134"/>
      <w:bookmarkStart w:id="96" w:name="（七）报价响应及答疑"/>
      <w:r>
        <w:rPr>
          <w:rFonts w:hint="eastAsia" w:ascii="宋体" w:hAnsi="宋体" w:eastAsia="宋体" w:cs="宋体"/>
          <w:color w:val="000000" w:themeColor="text1"/>
          <w:sz w:val="24"/>
          <w:szCs w:val="24"/>
          <w:highlight w:val="none"/>
          <w14:textFill>
            <w14:solidFill>
              <w14:schemeClr w14:val="tx1"/>
            </w14:solidFill>
          </w14:textFill>
        </w:rPr>
        <w:t>（七）报价响应及答疑</w:t>
      </w:r>
      <w:bookmarkEnd w:id="94"/>
      <w:bookmarkEnd w:id="95"/>
    </w:p>
    <w:bookmarkEnd w:id="96"/>
    <w:p w14:paraId="7B73B1EF">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bookmarkStart w:id="97" w:name="_Toc28647"/>
      <w:bookmarkStart w:id="98" w:name="_Toc8394"/>
      <w:r>
        <w:rPr>
          <w:rFonts w:hint="eastAsia" w:ascii="宋体" w:hAnsi="宋体"/>
          <w:color w:val="000000" w:themeColor="text1"/>
          <w:sz w:val="24"/>
          <w:szCs w:val="24"/>
          <w:highlight w:val="none"/>
          <w14:textFill>
            <w14:solidFill>
              <w14:schemeClr w14:val="tx1"/>
            </w14:solidFill>
          </w14:textFill>
        </w:rPr>
        <w:t>1、供应商的报价应当包括满足本次谈判全部采购需求所应提供的服务，以及伴随的货物和工程。</w:t>
      </w:r>
    </w:p>
    <w:p w14:paraId="7893B7C3">
      <w:pPr>
        <w:pageBreakBefore w:val="0"/>
        <w:kinsoku/>
        <w:wordWrap/>
        <w:overflowPunct/>
        <w:topLinePunct w:val="0"/>
        <w:autoSpaceDE/>
        <w:autoSpaceDN/>
        <w:bidi w:val="0"/>
        <w:snapToGrid/>
        <w:spacing w:line="49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w:t>
      </w:r>
      <w:r>
        <w:rPr>
          <w:rFonts w:hint="eastAsia" w:ascii="宋体" w:hAnsi="宋体"/>
          <w:color w:val="000000" w:themeColor="text1"/>
          <w:sz w:val="24"/>
          <w:szCs w:val="24"/>
          <w:highlight w:val="none"/>
          <w:lang w:val="en-US" w:eastAsia="zh-CN"/>
          <w14:textFill>
            <w14:solidFill>
              <w14:schemeClr w14:val="tx1"/>
            </w14:solidFill>
          </w14:textFill>
        </w:rPr>
        <w:t>服务</w:t>
      </w:r>
      <w:r>
        <w:rPr>
          <w:rFonts w:hint="eastAsia" w:ascii="宋体" w:hAnsi="宋体"/>
          <w:color w:val="000000" w:themeColor="text1"/>
          <w:sz w:val="24"/>
          <w:szCs w:val="24"/>
          <w:highlight w:val="none"/>
          <w14:textFill>
            <w14:solidFill>
              <w14:schemeClr w14:val="tx1"/>
            </w14:solidFill>
          </w14:textFill>
        </w:rPr>
        <w:t>现场和周围环境进行踏勘，以获取编制响应文件和签署合同所需的资料。踏勘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color w:val="000000" w:themeColor="text1"/>
          <w:sz w:val="24"/>
          <w:szCs w:val="24"/>
          <w:highlight w:val="none"/>
          <w14:textFill>
            <w14:solidFill>
              <w14:schemeClr w14:val="tx1"/>
            </w14:solidFill>
          </w14:textFill>
        </w:rPr>
        <w:br w:type="textWrapping"/>
      </w:r>
      <w:r>
        <w:rPr>
          <w:rFonts w:hint="eastAsia" w:ascii="宋体" w:hAns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eastAsia="宋体"/>
          <w:color w:val="000000" w:themeColor="text1"/>
          <w:sz w:val="24"/>
          <w:szCs w:val="24"/>
          <w:highlight w:val="none"/>
          <w:lang w:val="en-US" w:eastAsia="zh-CN"/>
          <w14:textFill>
            <w14:solidFill>
              <w14:schemeClr w14:val="tx1"/>
            </w14:solidFill>
          </w14:textFill>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（八）合同的签订</w:t>
      </w:r>
      <w:bookmarkEnd w:id="97"/>
      <w:bookmarkEnd w:id="98"/>
    </w:p>
    <w:p w14:paraId="0D27394B">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1、质疑期</w:t>
      </w:r>
      <w:r>
        <w:rPr>
          <w:rFonts w:ascii="宋体" w:hAnsi="宋体" w:cs="Arial"/>
          <w:color w:val="000000" w:themeColor="text1"/>
          <w:sz w:val="24"/>
          <w:szCs w:val="24"/>
          <w:highlight w:val="none"/>
          <w14:textFill>
            <w14:solidFill>
              <w14:schemeClr w14:val="tx1"/>
            </w14:solidFill>
          </w14:textFill>
        </w:rPr>
        <w:t>内如未接到供应商的质疑和投诉</w:t>
      </w:r>
      <w:r>
        <w:rPr>
          <w:rFonts w:hint="eastAsia" w:ascii="宋体" w:hAnsi="宋体" w:cs="Arial"/>
          <w:color w:val="000000" w:themeColor="text1"/>
          <w:sz w:val="24"/>
          <w:szCs w:val="24"/>
          <w:highlight w:val="none"/>
          <w14:textFill>
            <w14:solidFill>
              <w14:schemeClr w14:val="tx1"/>
            </w14:solidFill>
          </w14:textFill>
        </w:rPr>
        <w:t>，将向成交供应商发出成交通知书。</w:t>
      </w:r>
    </w:p>
    <w:p w14:paraId="3B57EB43">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2、成交供应商在</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通知书发出</w:t>
      </w:r>
      <w:r>
        <w:rPr>
          <w:rFonts w:ascii="宋体" w:hAnsi="宋体" w:cs="Arial"/>
          <w:color w:val="000000" w:themeColor="text1"/>
          <w:sz w:val="24"/>
          <w:szCs w:val="24"/>
          <w:highlight w:val="none"/>
          <w14:textFill>
            <w14:solidFill>
              <w14:schemeClr w14:val="tx1"/>
            </w14:solidFill>
          </w14:textFill>
        </w:rPr>
        <w:t>后</w:t>
      </w:r>
      <w:r>
        <w:rPr>
          <w:rFonts w:hint="eastAsia" w:ascii="宋体" w:hAnsi="宋体" w:cs="Arial"/>
          <w:color w:val="000000" w:themeColor="text1"/>
          <w:sz w:val="24"/>
          <w:szCs w:val="24"/>
          <w:highlight w:val="none"/>
          <w14:textFill>
            <w14:solidFill>
              <w14:schemeClr w14:val="tx1"/>
            </w14:solidFill>
          </w14:textFill>
        </w:rPr>
        <w:t>7个工作日</w:t>
      </w:r>
      <w:r>
        <w:rPr>
          <w:rFonts w:ascii="宋体" w:hAnsi="宋体" w:cs="Arial"/>
          <w:color w:val="000000" w:themeColor="text1"/>
          <w:sz w:val="24"/>
          <w:szCs w:val="24"/>
          <w:highlight w:val="none"/>
          <w14:textFill>
            <w14:solidFill>
              <w14:schemeClr w14:val="tx1"/>
            </w14:solidFill>
          </w14:textFill>
        </w:rPr>
        <w:t>内与</w:t>
      </w:r>
      <w:r>
        <w:rPr>
          <w:rFonts w:hint="eastAsia" w:ascii="宋体" w:hAnsi="宋体" w:cs="Arial"/>
          <w:color w:val="000000" w:themeColor="text1"/>
          <w:sz w:val="24"/>
          <w:szCs w:val="24"/>
          <w:highlight w:val="none"/>
          <w14:textFill>
            <w14:solidFill>
              <w14:schemeClr w14:val="tx1"/>
            </w14:solidFill>
          </w14:textFill>
        </w:rPr>
        <w:t>采购单位</w:t>
      </w:r>
      <w:r>
        <w:rPr>
          <w:rFonts w:ascii="宋体" w:hAnsi="宋体" w:cs="Arial"/>
          <w:color w:val="000000" w:themeColor="text1"/>
          <w:sz w:val="24"/>
          <w:szCs w:val="24"/>
          <w:highlight w:val="none"/>
          <w14:textFill>
            <w14:solidFill>
              <w14:schemeClr w14:val="tx1"/>
            </w14:solidFill>
          </w14:textFill>
        </w:rPr>
        <w:t>签订合同。</w:t>
      </w:r>
      <w:r>
        <w:rPr>
          <w:rFonts w:hint="eastAsia" w:ascii="宋体" w:hAnsi="宋体" w:cs="Arial"/>
          <w:color w:val="000000" w:themeColor="text1"/>
          <w:sz w:val="24"/>
          <w:szCs w:val="24"/>
          <w:highlight w:val="none"/>
          <w14:textFill>
            <w14:solidFill>
              <w14:schemeClr w14:val="tx1"/>
            </w14:solidFill>
          </w14:textFill>
        </w:rPr>
        <w:t>采购文件、</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供应商的</w:t>
      </w:r>
      <w:r>
        <w:rPr>
          <w:rFonts w:hint="eastAsia" w:ascii="宋体" w:hAnsi="宋体" w:cs="Arial"/>
          <w:color w:val="000000" w:themeColor="text1"/>
          <w:sz w:val="24"/>
          <w:szCs w:val="24"/>
          <w:highlight w:val="none"/>
          <w:lang w:eastAsia="zh-CN"/>
          <w14:textFill>
            <w14:solidFill>
              <w14:schemeClr w14:val="tx1"/>
            </w14:solidFill>
          </w14:textFill>
        </w:rPr>
        <w:t>响应文件</w:t>
      </w:r>
      <w:r>
        <w:rPr>
          <w:rFonts w:hint="eastAsia" w:ascii="宋体" w:hAnsi="宋体" w:cs="Arial"/>
          <w:color w:val="000000" w:themeColor="text1"/>
          <w:sz w:val="24"/>
          <w:szCs w:val="24"/>
          <w:highlight w:val="none"/>
          <w14:textFill>
            <w14:solidFill>
              <w14:schemeClr w14:val="tx1"/>
            </w14:solidFill>
          </w14:textFill>
        </w:rPr>
        <w:t>及澄清文件等，均作为合同的附件。</w:t>
      </w:r>
    </w:p>
    <w:p w14:paraId="3EA75C01">
      <w:pPr>
        <w:spacing w:line="360" w:lineRule="auto"/>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r>
        <w:rPr>
          <w:rFonts w:ascii="宋体" w:hAnsi="宋体" w:cs="Arial"/>
          <w:color w:val="000000" w:themeColor="text1"/>
          <w:sz w:val="24"/>
          <w:szCs w:val="24"/>
          <w:highlight w:val="none"/>
          <w14:textFill>
            <w14:solidFill>
              <w14:schemeClr w14:val="tx1"/>
            </w14:solidFill>
          </w14:textFill>
        </w:rPr>
        <w:t>采购</w:t>
      </w:r>
      <w:r>
        <w:rPr>
          <w:rFonts w:hint="eastAsia" w:ascii="宋体" w:hAnsi="宋体" w:cs="Arial"/>
          <w:color w:val="000000" w:themeColor="text1"/>
          <w:sz w:val="24"/>
          <w:szCs w:val="24"/>
          <w:highlight w:val="none"/>
          <w14:textFill>
            <w14:solidFill>
              <w14:schemeClr w14:val="tx1"/>
            </w14:solidFill>
          </w14:textFill>
        </w:rPr>
        <w:t>单位</w:t>
      </w:r>
      <w:r>
        <w:rPr>
          <w:rFonts w:ascii="宋体" w:hAnsi="宋体" w:cs="Arial"/>
          <w:color w:val="000000" w:themeColor="text1"/>
          <w:sz w:val="24"/>
          <w:szCs w:val="24"/>
          <w:highlight w:val="none"/>
          <w14:textFill>
            <w14:solidFill>
              <w14:schemeClr w14:val="tx1"/>
            </w14:solidFill>
          </w14:textFill>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r>
        <w:rPr>
          <w:rFonts w:ascii="宋体" w:hAnsi="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color w:val="000000" w:themeColor="text1"/>
          <w:sz w:val="24"/>
          <w:szCs w:val="24"/>
          <w:highlight w:val="none"/>
          <w14:textFill>
            <w14:solidFill>
              <w14:schemeClr w14:val="tx1"/>
            </w14:solidFill>
          </w14:textFill>
        </w:rPr>
        <w:t>或重新组织采购</w:t>
      </w:r>
      <w:r>
        <w:rPr>
          <w:rFonts w:ascii="宋体" w:hAnsi="宋体" w:cs="Arial"/>
          <w:color w:val="000000" w:themeColor="text1"/>
          <w:sz w:val="24"/>
          <w:szCs w:val="24"/>
          <w:highlight w:val="none"/>
          <w14:textFill>
            <w14:solidFill>
              <w14:schemeClr w14:val="tx1"/>
            </w14:solidFill>
          </w14:textFill>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5</w:t>
      </w:r>
      <w:r>
        <w:rPr>
          <w:rFonts w:hint="eastAsia" w:ascii="宋体" w:hAnsi="宋体" w:cs="Arial"/>
          <w:color w:val="000000" w:themeColor="text1"/>
          <w:sz w:val="24"/>
          <w:szCs w:val="24"/>
          <w:highlight w:val="none"/>
          <w14:textFill>
            <w14:solidFill>
              <w14:schemeClr w14:val="tx1"/>
            </w14:solidFill>
          </w14:textFill>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第七十七条 供应商有下列情形之一的，处以采购金额千分之五以上千分之十以下的罚款，列入不</w:t>
      </w:r>
      <w:r>
        <w:rPr>
          <w:rFonts w:hint="eastAsia"/>
          <w:color w:val="000000" w:themeColor="text1"/>
          <w:highlight w:val="none"/>
          <w14:textFill>
            <w14:solidFill>
              <w14:schemeClr w14:val="tx1"/>
            </w14:solidFill>
          </w14:textFill>
        </w:rPr>
        <w:t>良行为记录名单，在一至三年内禁止参加政府采购活动，有违法所得的，并处没收违法所得，情节严重的，由工商行政管理机关吊销营业执照；构成犯罪的，依法追究刑事责任：……</w:t>
      </w:r>
    </w:p>
    <w:p w14:paraId="532BA0A8">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3</w:t>
      </w:r>
      <w:r>
        <w:rPr>
          <w:rFonts w:hint="eastAsia" w:ascii="宋体" w:hAnsi="宋体" w:cs="Arial"/>
          <w:color w:val="000000" w:themeColor="text1"/>
          <w:sz w:val="24"/>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《政府采购非招标采购方式管理办法》（财政部令第74号）</w:t>
      </w:r>
    </w:p>
    <w:p w14:paraId="203A4C3A">
      <w:pPr>
        <w:pStyle w:val="33"/>
        <w:pageBreakBefore w:val="0"/>
        <w:kinsoku/>
        <w:wordWrap/>
        <w:overflowPunct/>
        <w:topLinePunct w:val="0"/>
        <w:autoSpaceDE/>
        <w:autoSpaceDN/>
        <w:bidi w:val="0"/>
        <w:snapToGrid/>
        <w:spacing w:after="0" w:line="49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1484A9A6">
      <w:pPr>
        <w:pStyle w:val="33"/>
        <w:pageBreakBefore w:val="0"/>
        <w:kinsoku/>
        <w:wordWrap/>
        <w:overflowPunct/>
        <w:topLinePunct w:val="0"/>
        <w:autoSpaceDE/>
        <w:autoSpaceDN/>
        <w:bidi w:val="0"/>
        <w:snapToGrid/>
        <w:spacing w:after="0" w:line="490" w:lineRule="exact"/>
        <w:ind w:firstLine="480" w:firstLineChars="200"/>
        <w:rPr>
          <w:rFonts w:ascii="宋体" w:hAnsi="宋体" w:cs="宋体"/>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color w:val="000000" w:themeColor="text1"/>
          <w:sz w:val="24"/>
          <w:szCs w:val="24"/>
          <w:highlight w:val="none"/>
          <w14:textFill>
            <w14:solidFill>
              <w14:schemeClr w14:val="tx1"/>
            </w14:solidFill>
          </w14:textFill>
        </w:rPr>
      </w:pPr>
      <w:bookmarkStart w:id="99" w:name="_Toc30371"/>
      <w:bookmarkStart w:id="100" w:name="_Toc15212"/>
      <w:r>
        <w:rPr>
          <w:rFonts w:hint="eastAsia" w:ascii="宋体" w:hAnsi="宋体" w:eastAsia="宋体" w:cs="宋体"/>
          <w:color w:val="000000" w:themeColor="text1"/>
          <w:sz w:val="24"/>
          <w:szCs w:val="24"/>
          <w:highlight w:val="none"/>
          <w14:textFill>
            <w14:solidFill>
              <w14:schemeClr w14:val="tx1"/>
            </w14:solidFill>
          </w14:textFill>
        </w:rPr>
        <w:t>（九）澄清及变更</w:t>
      </w:r>
      <w:bookmarkEnd w:id="99"/>
      <w:bookmarkEnd w:id="100"/>
    </w:p>
    <w:p w14:paraId="2DD7C6F1">
      <w:pPr>
        <w:pageBreakBefore w:val="0"/>
        <w:kinsoku/>
        <w:wordWrap/>
        <w:overflowPunct/>
        <w:topLinePunct w:val="0"/>
        <w:autoSpaceDE/>
        <w:autoSpaceDN/>
        <w:bidi w:val="0"/>
        <w:snapToGrid/>
        <w:spacing w:line="490" w:lineRule="exact"/>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采购</w:t>
      </w:r>
      <w:r>
        <w:rPr>
          <w:rFonts w:hint="eastAsia" w:ascii="宋体" w:hAnsi="宋体"/>
          <w:color w:val="000000" w:themeColor="text1"/>
          <w:sz w:val="24"/>
          <w:szCs w:val="24"/>
          <w:highlight w:val="none"/>
          <w14:textFill>
            <w14:solidFill>
              <w14:schemeClr w14:val="tx1"/>
            </w14:solidFill>
          </w14:textFill>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101" w:name="_Toc14936"/>
      <w:bookmarkStart w:id="102" w:name="_Toc11886"/>
      <w:r>
        <w:rPr>
          <w:rFonts w:hint="eastAsia" w:ascii="宋体" w:hAnsi="宋体" w:eastAsia="宋体" w:cs="宋体"/>
          <w:color w:val="000000" w:themeColor="text1"/>
          <w:sz w:val="24"/>
          <w:szCs w:val="24"/>
          <w:highlight w:val="none"/>
          <w14:textFill>
            <w14:solidFill>
              <w14:schemeClr w14:val="tx1"/>
            </w14:solidFill>
          </w14:textFill>
        </w:rPr>
        <w:t>（十）验收</w:t>
      </w:r>
      <w:bookmarkEnd w:id="101"/>
      <w:r>
        <w:rPr>
          <w:rFonts w:hint="eastAsia" w:ascii="宋体" w:hAnsi="宋体" w:eastAsia="宋体" w:cs="宋体"/>
          <w:color w:val="000000" w:themeColor="text1"/>
          <w:sz w:val="24"/>
          <w:szCs w:val="24"/>
          <w:highlight w:val="none"/>
          <w14:textFill>
            <w14:solidFill>
              <w14:schemeClr w14:val="tx1"/>
            </w14:solidFill>
          </w14:textFill>
        </w:rPr>
        <w:t>与支付</w:t>
      </w:r>
      <w:bookmarkEnd w:id="102"/>
      <w:bookmarkStart w:id="103" w:name="_Toc24748"/>
      <w:bookmarkStart w:id="104" w:name="_Toc29355"/>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val="0"/>
          <w:color w:val="000000" w:themeColor="text1"/>
          <w:kern w:val="2"/>
          <w:sz w:val="24"/>
          <w:szCs w:val="24"/>
          <w:highlight w:val="none"/>
          <w:lang w:val="en-US" w:eastAsia="zh-CN" w:bidi="ar-SA"/>
          <w14:textFill>
            <w14:solidFill>
              <w14:schemeClr w14:val="tx1"/>
            </w14:solidFill>
          </w14:textFill>
        </w:rPr>
        <w:t xml:space="preserve">以甲乙双方签订的采购合同内容要求的为准。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（十一）质疑</w:t>
      </w:r>
      <w:bookmarkEnd w:id="103"/>
      <w:bookmarkEnd w:id="104"/>
    </w:p>
    <w:p w14:paraId="79D67489">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对采购</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4.5对其他供应商的</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cs="宋体"/>
          <w:color w:val="000000" w:themeColor="text1"/>
          <w:kern w:val="0"/>
          <w:sz w:val="24"/>
          <w:szCs w:val="24"/>
          <w:highlight w:val="none"/>
          <w14:textFill>
            <w14:solidFill>
              <w14:schemeClr w14:val="tx1"/>
            </w14:solidFill>
          </w14:textFill>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4.6 针对某一采购程序环节提出质疑后，再次针对该环节提出质疑的</w:t>
      </w:r>
      <w:r>
        <w:rPr>
          <w:rFonts w:hint="eastAsia" w:ascii="宋体" w:hAnsi="宋体"/>
          <w:bCs/>
          <w:color w:val="000000" w:themeColor="text1"/>
          <w:sz w:val="24"/>
          <w:highlight w:val="none"/>
          <w:lang w:eastAsia="zh-CN"/>
          <w14:textFill>
            <w14:solidFill>
              <w14:schemeClr w14:val="tx1"/>
            </w14:solidFill>
          </w14:textFill>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r>
        <w:rPr>
          <w:rFonts w:hint="eastAsia" w:ascii="宋体" w:hAnsi="宋体"/>
          <w:bCs/>
          <w:color w:val="000000" w:themeColor="text1"/>
          <w:sz w:val="24"/>
          <w:highlight w:val="none"/>
          <w:lang w:val="en-US" w:eastAsia="zh-CN"/>
          <w14:textFill>
            <w14:solidFill>
              <w14:schemeClr w14:val="tx1"/>
            </w14:solidFill>
          </w14:textFill>
        </w:rPr>
        <w:t>7</w:t>
      </w:r>
      <w:r>
        <w:rPr>
          <w:rFonts w:hint="eastAsia" w:ascii="宋体" w:hAnsi="宋体"/>
          <w:bCs/>
          <w:color w:val="000000" w:themeColor="text1"/>
          <w:sz w:val="24"/>
          <w:highlight w:val="none"/>
          <w14:textFill>
            <w14:solidFill>
              <w14:schemeClr w14:val="tx1"/>
            </w14:solidFill>
          </w14:textFill>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相关监管部门</w:t>
      </w:r>
      <w:r>
        <w:rPr>
          <w:rFonts w:hint="eastAsia" w:ascii="宋体" w:hAnsi="宋体"/>
          <w:bCs/>
          <w:color w:val="000000" w:themeColor="text1"/>
          <w:sz w:val="24"/>
          <w:highlight w:val="none"/>
          <w14:textFill>
            <w14:solidFill>
              <w14:schemeClr w14:val="tx1"/>
            </w14:solidFill>
          </w14:textFill>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6A17E404">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投诉人在全国范围12个月内三次以上投诉查无实据的，由财政部门列入不良行为记录名单。</w:t>
      </w:r>
    </w:p>
    <w:p w14:paraId="3A765589">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投诉人有下列行为之一的，属于虚假、恶意投诉，将报</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相关监管部门</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予以处理。</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7F8104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D9080A2">
      <w:pPr>
        <w:pStyle w:val="33"/>
        <w:keepNext w:val="0"/>
        <w:keepLines w:val="0"/>
        <w:pageBreakBefore w:val="0"/>
        <w:widowControl w:val="0"/>
        <w:kinsoku/>
        <w:wordWrap/>
        <w:overflowPunct/>
        <w:topLinePunct w:val="0"/>
        <w:autoSpaceDE/>
        <w:autoSpaceDN/>
        <w:bidi w:val="0"/>
        <w:adjustRightInd/>
        <w:snapToGrid/>
        <w:spacing w:after="0" w:line="490" w:lineRule="exact"/>
        <w:textAlignment w:val="auto"/>
        <w:rPr>
          <w:color w:val="000000" w:themeColor="text1"/>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1CB23988">
      <w:pPr>
        <w:pStyle w:val="3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(十二）未尽事宜</w:t>
      </w:r>
    </w:p>
    <w:p w14:paraId="332C7DA8">
      <w:pPr>
        <w:pStyle w:val="3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本采购文件未尽事宜，按照国家及地方现行政府采购相关法律、法规及规章的规定执行。</w:t>
      </w:r>
      <w:r>
        <w:rPr>
          <w:rFonts w:hint="eastAsia" w:ascii="宋体" w:hAnsi="宋体" w:eastAsia="宋体" w:cs="Times New Roman"/>
          <w:b w:val="0"/>
          <w:bCs/>
          <w:color w:val="000000" w:themeColor="text1"/>
          <w:kern w:val="2"/>
          <w:sz w:val="24"/>
          <w:szCs w:val="24"/>
          <w:highlight w:val="none"/>
          <w:lang w:val="en-US" w:eastAsia="zh-CN" w:bidi="ar-SA"/>
          <w14:textFill>
            <w14:solidFill>
              <w14:schemeClr w14:val="tx1"/>
            </w14:solidFill>
          </w14:textFill>
        </w:rPr>
        <w:br w:type="textWrapping"/>
      </w:r>
      <w:r>
        <w:rPr>
          <w:rFonts w:hint="eastAsia" w:ascii="宋体" w:hAnsi="宋体" w:cs="Times New Roman"/>
          <w:b w:val="0"/>
          <w:bCs/>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eastAsia="宋体" w:cs="Times New Roman"/>
          <w:b/>
          <w:bCs w:val="0"/>
          <w:color w:val="000000" w:themeColor="text1"/>
          <w:kern w:val="2"/>
          <w:sz w:val="24"/>
          <w:szCs w:val="24"/>
          <w:highlight w:val="none"/>
          <w:lang w:val="en-US" w:eastAsia="zh-CN" w:bidi="ar-SA"/>
          <w14:textFill>
            <w14:solidFill>
              <w14:schemeClr w14:val="tx1"/>
            </w14:solidFill>
          </w14:textFill>
        </w:rPr>
        <w:t>(十三）解释权</w:t>
      </w:r>
    </w:p>
    <w:p w14:paraId="16C0ED36">
      <w:pPr>
        <w:pStyle w:val="33"/>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本采购文件的最终解释权归采购人所有。</w:t>
      </w:r>
    </w:p>
    <w:p w14:paraId="7CD6F695">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105" w:name="_Toc13399"/>
    </w:p>
    <w:p w14:paraId="791D9673">
      <w:pPr>
        <w:pStyle w:val="3"/>
        <w:spacing w:before="0" w:after="0" w:line="560" w:lineRule="exact"/>
        <w:jc w:val="center"/>
        <w:rPr>
          <w:color w:val="000000" w:themeColor="text1"/>
          <w:spacing w:val="0"/>
          <w:position w:val="0"/>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二、采购合同</w:t>
      </w:r>
      <w:bookmarkEnd w:id="69"/>
      <w:bookmarkEnd w:id="105"/>
      <w:bookmarkStart w:id="106" w:name="_Toc363199273"/>
    </w:p>
    <w:p w14:paraId="51EB1463">
      <w:pPr>
        <w:spacing w:line="254" w:lineRule="auto"/>
        <w:rPr>
          <w:color w:val="000000" w:themeColor="text1"/>
          <w:spacing w:val="0"/>
          <w:position w:val="0"/>
          <w:highlight w:val="none"/>
          <w14:textFill>
            <w14:solidFill>
              <w14:schemeClr w14:val="tx1"/>
            </w14:solidFill>
          </w14:textFill>
        </w:rPr>
      </w:pPr>
    </w:p>
    <w:p w14:paraId="6F43B10E">
      <w:pPr>
        <w:pStyle w:val="33"/>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本项目采购合同由甲乙双方参照采购文件及成交供应商响应文件内容自行拟定，合同条款不得与采购文件及响应文件的核心内容相偏离。</w:t>
      </w:r>
    </w:p>
    <w:p w14:paraId="131505CA">
      <w:pPr>
        <w:spacing w:line="253" w:lineRule="auto"/>
        <w:rPr>
          <w:color w:val="000000" w:themeColor="text1"/>
          <w:highlight w:val="none"/>
          <w14:textFill>
            <w14:solidFill>
              <w14:schemeClr w14:val="tx1"/>
            </w14:solidFill>
          </w14:textFill>
        </w:rPr>
      </w:pPr>
    </w:p>
    <w:p w14:paraId="4E09080C">
      <w:pPr>
        <w:spacing w:line="253" w:lineRule="auto"/>
        <w:rPr>
          <w:color w:val="000000" w:themeColor="text1"/>
          <w:highlight w:val="none"/>
          <w14:textFill>
            <w14:solidFill>
              <w14:schemeClr w14:val="tx1"/>
            </w14:solidFill>
          </w14:textFill>
        </w:rPr>
      </w:pPr>
    </w:p>
    <w:p w14:paraId="079AC403">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bookmarkStart w:id="107" w:name="_Toc20887"/>
      <w:r>
        <w:rPr>
          <w:rFonts w:hint="eastAsia" w:ascii="宋体" w:hAnsi="宋体" w:eastAsia="宋体" w:cs="宋体"/>
          <w:color w:val="000000" w:themeColor="text1"/>
          <w:sz w:val="28"/>
          <w:szCs w:val="28"/>
          <w:highlight w:val="none"/>
          <w14:textFill>
            <w14:solidFill>
              <w14:schemeClr w14:val="tx1"/>
            </w14:solidFill>
          </w14:textFill>
        </w:rPr>
        <w:t>采购需求</w:t>
      </w:r>
      <w:bookmarkEnd w:id="107"/>
    </w:p>
    <w:tbl>
      <w:tblPr>
        <w:tblStyle w:val="36"/>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5"/>
        <w:gridCol w:w="735"/>
        <w:gridCol w:w="7345"/>
      </w:tblGrid>
      <w:tr w14:paraId="551BFE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675" w:type="dxa"/>
          </w:tcPr>
          <w:p w14:paraId="00502B7C">
            <w:pPr>
              <w:spacing w:line="320" w:lineRule="exact"/>
              <w:jc w:val="center"/>
              <w:rPr>
                <w:rFonts w:ascii="仿宋" w:hAnsi="仿宋" w:eastAsia="仿宋"/>
                <w:bCs/>
                <w:color w:val="000000" w:themeColor="text1"/>
                <w:szCs w:val="21"/>
                <w:highlight w:val="none"/>
                <w14:textFill>
                  <w14:solidFill>
                    <w14:schemeClr w14:val="tx1"/>
                  </w14:solidFill>
                </w14:textFill>
              </w:rPr>
            </w:pPr>
            <w:bookmarkStart w:id="108" w:name="_Toc27329"/>
            <w:r>
              <w:rPr>
                <w:rFonts w:hint="eastAsia" w:ascii="仿宋" w:hAnsi="仿宋" w:eastAsia="仿宋"/>
                <w:bCs/>
                <w:color w:val="000000" w:themeColor="text1"/>
                <w:szCs w:val="21"/>
                <w:highlight w:val="none"/>
                <w14:textFill>
                  <w14:solidFill>
                    <w14:schemeClr w14:val="tx1"/>
                  </w14:solidFill>
                </w14:textFill>
              </w:rPr>
              <w:t>序号</w:t>
            </w:r>
          </w:p>
        </w:tc>
        <w:tc>
          <w:tcPr>
            <w:tcW w:w="8080" w:type="dxa"/>
            <w:gridSpan w:val="2"/>
          </w:tcPr>
          <w:p w14:paraId="54772356">
            <w:pPr>
              <w:spacing w:line="320" w:lineRule="exact"/>
              <w:jc w:val="center"/>
              <w:rPr>
                <w:rFonts w:hint="default" w:ascii="仿宋" w:hAnsi="仿宋" w:eastAsia="仿宋"/>
                <w:bCs/>
                <w:color w:val="000000" w:themeColor="text1"/>
                <w:szCs w:val="21"/>
                <w:highlight w:val="none"/>
                <w:lang w:val="en-US" w:eastAsia="zh-CN"/>
                <w14:textFill>
                  <w14:solidFill>
                    <w14:schemeClr w14:val="tx1"/>
                  </w14:solidFill>
                </w14:textFill>
              </w:rPr>
            </w:pPr>
            <w:r>
              <w:rPr>
                <w:rFonts w:hint="eastAsia" w:ascii="仿宋" w:hAnsi="仿宋" w:eastAsia="仿宋"/>
                <w:bCs/>
                <w:color w:val="000000" w:themeColor="text1"/>
                <w:szCs w:val="21"/>
                <w:highlight w:val="none"/>
                <w:lang w:val="en-US" w:eastAsia="zh-CN"/>
                <w14:textFill>
                  <w14:solidFill>
                    <w14:schemeClr w14:val="tx1"/>
                  </w14:solidFill>
                </w14:textFill>
              </w:rPr>
              <w:t>内容及要求</w:t>
            </w:r>
          </w:p>
          <w:p w14:paraId="343ADBEB">
            <w:pPr>
              <w:spacing w:line="320" w:lineRule="exact"/>
              <w:jc w:val="center"/>
              <w:rPr>
                <w:rFonts w:hint="eastAsia" w:ascii="仿宋" w:hAnsi="仿宋" w:eastAsia="仿宋"/>
                <w:bCs/>
                <w:color w:val="000000" w:themeColor="text1"/>
                <w:szCs w:val="21"/>
                <w:highlight w:val="none"/>
                <w:lang w:eastAsia="zh-CN"/>
                <w14:textFill>
                  <w14:solidFill>
                    <w14:schemeClr w14:val="tx1"/>
                  </w14:solidFill>
                </w14:textFill>
              </w:rPr>
            </w:pPr>
          </w:p>
        </w:tc>
      </w:tr>
      <w:tr w14:paraId="1FCACD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F3B4AB3">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w:t>
            </w:r>
          </w:p>
        </w:tc>
        <w:tc>
          <w:tcPr>
            <w:tcW w:w="735" w:type="dxa"/>
          </w:tcPr>
          <w:p w14:paraId="34413646">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维保形式</w:t>
            </w:r>
          </w:p>
        </w:tc>
        <w:tc>
          <w:tcPr>
            <w:tcW w:w="7345" w:type="dxa"/>
          </w:tcPr>
          <w:p w14:paraId="0A55D226">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全保，在保修服务期内免费提供所有保修所需配件及需不定期更换的耗品（含各种人为或非人为因素导致的故障，故意损坏的除外）；</w:t>
            </w:r>
          </w:p>
        </w:tc>
      </w:tr>
      <w:tr w14:paraId="4CC903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47C85870">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2</w:t>
            </w:r>
          </w:p>
        </w:tc>
        <w:tc>
          <w:tcPr>
            <w:tcW w:w="735" w:type="dxa"/>
          </w:tcPr>
          <w:p w14:paraId="6C18B750">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维保期限</w:t>
            </w:r>
          </w:p>
        </w:tc>
        <w:tc>
          <w:tcPr>
            <w:tcW w:w="7345" w:type="dxa"/>
          </w:tcPr>
          <w:p w14:paraId="47729CE0">
            <w:pPr>
              <w:spacing w:line="320" w:lineRule="exact"/>
              <w:jc w:val="left"/>
              <w:rPr>
                <w:rFonts w:hint="eastAsia"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合同签订后一年，合同期满后如供应商服务质量考核合格，经协商一致可续签合同，合同一年一签，续签不超两年。</w:t>
            </w:r>
          </w:p>
          <w:p w14:paraId="515DCB69">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合同要素不变，保修数量用以临床科室签字确认单结算。</w:t>
            </w:r>
          </w:p>
        </w:tc>
      </w:tr>
      <w:tr w14:paraId="307FD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56DBCD4">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3</w:t>
            </w:r>
          </w:p>
        </w:tc>
        <w:tc>
          <w:tcPr>
            <w:tcW w:w="735" w:type="dxa"/>
          </w:tcPr>
          <w:p w14:paraId="61E52ED4">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服务内容</w:t>
            </w:r>
          </w:p>
        </w:tc>
        <w:tc>
          <w:tcPr>
            <w:tcW w:w="7345" w:type="dxa"/>
          </w:tcPr>
          <w:p w14:paraId="5CBD2BA7">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CT型号：东软NeuViz128。</w:t>
            </w:r>
            <w:r>
              <w:rPr>
                <w:rFonts w:hint="eastAsia" w:ascii="仿宋" w:hAnsi="仿宋" w:eastAsia="仿宋"/>
                <w:bCs/>
                <w:color w:val="000000" w:themeColor="text1"/>
                <w:szCs w:val="21"/>
                <w:highlight w:val="none"/>
                <w:lang w:val="zh-CN"/>
                <w14:textFill>
                  <w14:solidFill>
                    <w14:schemeClr w14:val="tx1"/>
                  </w14:solidFill>
                </w14:textFill>
              </w:rPr>
              <w:t>提供CT全保服务，全保范围包括但不限于球管、探测器、诊断床、工作站主机及副台、高压发生器、配电柜及网络等所有的维修配件、人工、税金等涉及到的所有费用，包含不限次数的现场检修，定期维护保养。</w:t>
            </w:r>
          </w:p>
        </w:tc>
      </w:tr>
      <w:tr w14:paraId="719054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FF6049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4</w:t>
            </w:r>
          </w:p>
        </w:tc>
        <w:tc>
          <w:tcPr>
            <w:tcW w:w="735" w:type="dxa"/>
          </w:tcPr>
          <w:p w14:paraId="386E8208">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人员资质</w:t>
            </w:r>
          </w:p>
        </w:tc>
        <w:tc>
          <w:tcPr>
            <w:tcW w:w="7345" w:type="dxa"/>
          </w:tcPr>
          <w:p w14:paraId="25D08EBA">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供应商有不少于2位有资质的工程师</w:t>
            </w:r>
          </w:p>
        </w:tc>
      </w:tr>
      <w:tr w14:paraId="544B8C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ECD8DDC">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5</w:t>
            </w:r>
          </w:p>
        </w:tc>
        <w:tc>
          <w:tcPr>
            <w:tcW w:w="735" w:type="dxa"/>
          </w:tcPr>
          <w:p w14:paraId="6D9F7CA5">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零备件仓库</w:t>
            </w:r>
          </w:p>
        </w:tc>
        <w:tc>
          <w:tcPr>
            <w:tcW w:w="7345" w:type="dxa"/>
          </w:tcPr>
          <w:p w14:paraId="7B56F97A">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供应商在国内设有零备件仓库, 仓库面积≥</w:t>
            </w:r>
            <w:r>
              <w:rPr>
                <w:rFonts w:hint="eastAsia" w:ascii="仿宋" w:hAnsi="仿宋" w:eastAsia="仿宋"/>
                <w:bCs/>
                <w:color w:val="000000" w:themeColor="text1"/>
                <w:szCs w:val="21"/>
                <w:highlight w:val="none"/>
                <w14:textFill>
                  <w14:solidFill>
                    <w14:schemeClr w14:val="tx1"/>
                  </w14:solidFill>
                </w14:textFill>
              </w:rPr>
              <w:t>1</w:t>
            </w:r>
            <w:r>
              <w:rPr>
                <w:rFonts w:hint="eastAsia" w:ascii="仿宋" w:hAnsi="仿宋" w:eastAsia="仿宋"/>
                <w:bCs/>
                <w:color w:val="000000" w:themeColor="text1"/>
                <w:szCs w:val="21"/>
                <w:highlight w:val="none"/>
                <w:lang w:val="zh-CN"/>
                <w14:textFill>
                  <w14:solidFill>
                    <w14:schemeClr w14:val="tx1"/>
                  </w14:solidFill>
                </w14:textFill>
              </w:rPr>
              <w:t>00平方，</w:t>
            </w:r>
            <w:r>
              <w:rPr>
                <w:rFonts w:hint="eastAsia" w:ascii="仿宋" w:hAnsi="仿宋" w:eastAsia="仿宋"/>
                <w:b/>
                <w:bCs w:val="0"/>
                <w:color w:val="000000" w:themeColor="text1"/>
                <w:szCs w:val="21"/>
                <w:highlight w:val="none"/>
                <w:lang w:val="zh-CN"/>
                <w14:textFill>
                  <w14:solidFill>
                    <w14:schemeClr w14:val="tx1"/>
                  </w14:solidFill>
                </w14:textFill>
              </w:rPr>
              <w:t>提供证明材料。</w:t>
            </w:r>
          </w:p>
        </w:tc>
      </w:tr>
      <w:tr w14:paraId="7D7994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D7B1ABB">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6</w:t>
            </w:r>
          </w:p>
        </w:tc>
        <w:tc>
          <w:tcPr>
            <w:tcW w:w="735" w:type="dxa"/>
          </w:tcPr>
          <w:p w14:paraId="4D5D7BC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配件保障</w:t>
            </w:r>
          </w:p>
        </w:tc>
        <w:tc>
          <w:tcPr>
            <w:tcW w:w="7345" w:type="dxa"/>
          </w:tcPr>
          <w:p w14:paraId="17D0F217">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供应商必须具备充足以及及时的备件供应能力：</w:t>
            </w:r>
          </w:p>
          <w:p w14:paraId="40B2363C">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1、更换的配件必须是符合国家相关法规的且为合法生产企业生产合格的</w:t>
            </w:r>
            <w:r>
              <w:rPr>
                <w:rFonts w:hint="eastAsia" w:ascii="仿宋" w:hAnsi="仿宋" w:eastAsia="仿宋"/>
                <w:bCs/>
                <w:color w:val="000000" w:themeColor="text1"/>
                <w:szCs w:val="21"/>
                <w:highlight w:val="none"/>
                <w:lang w:val="en-US" w:eastAsia="zh-CN"/>
                <w14:textFill>
                  <w14:solidFill>
                    <w14:schemeClr w14:val="tx1"/>
                  </w14:solidFill>
                </w14:textFill>
              </w:rPr>
              <w:t>全新</w:t>
            </w:r>
            <w:r>
              <w:rPr>
                <w:rFonts w:hint="eastAsia" w:ascii="仿宋" w:hAnsi="仿宋" w:eastAsia="仿宋"/>
                <w:bCs/>
                <w:color w:val="000000" w:themeColor="text1"/>
                <w:szCs w:val="21"/>
                <w:highlight w:val="none"/>
                <w:lang w:val="zh-CN"/>
                <w14:textFill>
                  <w14:solidFill>
                    <w14:schemeClr w14:val="tx1"/>
                  </w14:solidFill>
                </w14:textFill>
              </w:rPr>
              <w:t>零配件。更换后应满足设备正常运行，确保不会给原设备带来安全隐患。</w:t>
            </w:r>
          </w:p>
          <w:p w14:paraId="42FE8755">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2、具有全新球管、探测器和高压发生器等更换能力，有全新配件单据证明。</w:t>
            </w:r>
          </w:p>
          <w:p w14:paraId="2B92D244">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3、</w:t>
            </w:r>
            <w:r>
              <w:rPr>
                <w:rFonts w:hint="eastAsia" w:ascii="仿宋" w:hAnsi="仿宋" w:eastAsia="仿宋"/>
                <w:bCs/>
                <w:color w:val="000000" w:themeColor="text1"/>
                <w:szCs w:val="21"/>
                <w:highlight w:val="none"/>
                <w:lang w:val="zh-CN"/>
                <w14:textFill>
                  <w14:solidFill>
                    <w14:schemeClr w14:val="tx1"/>
                  </w14:solidFill>
                </w14:textFill>
              </w:rPr>
              <w:t xml:space="preserve">供应商须具有 </w:t>
            </w:r>
            <w:r>
              <w:rPr>
                <w:rFonts w:hint="eastAsia" w:ascii="仿宋" w:hAnsi="仿宋" w:eastAsia="仿宋"/>
                <w:bCs/>
                <w:color w:val="000000" w:themeColor="text1"/>
                <w:szCs w:val="21"/>
                <w:highlight w:val="none"/>
                <w14:textFill>
                  <w14:solidFill>
                    <w14:schemeClr w14:val="tx1"/>
                  </w14:solidFill>
                </w14:textFill>
              </w:rPr>
              <w:t>东软NeuViz128</w:t>
            </w:r>
            <w:r>
              <w:rPr>
                <w:rFonts w:hint="eastAsia" w:ascii="仿宋" w:hAnsi="仿宋" w:eastAsia="仿宋"/>
                <w:bCs/>
                <w:color w:val="000000" w:themeColor="text1"/>
                <w:szCs w:val="21"/>
                <w:highlight w:val="none"/>
                <w:lang w:val="zh-CN"/>
                <w14:textFill>
                  <w14:solidFill>
                    <w14:schemeClr w14:val="tx1"/>
                  </w14:solidFill>
                </w14:textFill>
              </w:rPr>
              <w:t>系列设备维修及球管、探测器检测、校正相关工具和仪器。球管高压检测工具≥1套，提供X射线剂量监测，符合出厂标准。球管安装校验需按原厂标准完成(焦点中心校正；自动曝光校正；X光剂量校正)。</w:t>
            </w:r>
            <w:r>
              <w:rPr>
                <w:rFonts w:hint="eastAsia" w:ascii="仿宋" w:hAnsi="仿宋" w:eastAsia="仿宋"/>
                <w:b/>
                <w:bCs w:val="0"/>
                <w:color w:val="000000" w:themeColor="text1"/>
                <w:szCs w:val="21"/>
                <w:highlight w:val="none"/>
                <w:lang w:val="zh-CN"/>
                <w14:textFill>
                  <w14:solidFill>
                    <w14:schemeClr w14:val="tx1"/>
                  </w14:solidFill>
                </w14:textFill>
              </w:rPr>
              <w:t>提供证明材料。</w:t>
            </w:r>
          </w:p>
          <w:p w14:paraId="42D26621">
            <w:pPr>
              <w:spacing w:line="320" w:lineRule="exact"/>
              <w:jc w:val="left"/>
              <w:rPr>
                <w:rFonts w:ascii="仿宋" w:hAnsi="仿宋" w:eastAsia="仿宋"/>
                <w:bCs/>
                <w:color w:val="000000" w:themeColor="text1"/>
                <w:szCs w:val="21"/>
                <w:highlight w:val="none"/>
                <w14:textFill>
                  <w14:solidFill>
                    <w14:schemeClr w14:val="tx1"/>
                  </w14:solidFill>
                </w14:textFill>
              </w:rPr>
            </w:pPr>
          </w:p>
        </w:tc>
      </w:tr>
      <w:tr w14:paraId="18303F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E7C46D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7</w:t>
            </w:r>
          </w:p>
        </w:tc>
        <w:tc>
          <w:tcPr>
            <w:tcW w:w="735" w:type="dxa"/>
          </w:tcPr>
          <w:p w14:paraId="1BBA3B4E">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质量保障</w:t>
            </w:r>
          </w:p>
          <w:p w14:paraId="63DCF5A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3F9FBE49">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定期保养维护：供应商应至少每季度进行一次全面维护保养，应包括且不仅限于机器清洁除尘、性能测试及校准、必要的机械或电气的检查，使用指导，以及非紧急性质的补救维修，确保系统能按照制造商的产品规格运行的维修，并出具保养报告。</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w:t>
            </w:r>
          </w:p>
        </w:tc>
      </w:tr>
      <w:tr w14:paraId="45717D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CBD3EBB">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8</w:t>
            </w:r>
          </w:p>
        </w:tc>
        <w:tc>
          <w:tcPr>
            <w:tcW w:w="735" w:type="dxa"/>
          </w:tcPr>
          <w:p w14:paraId="3644CA8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响应保障</w:t>
            </w:r>
          </w:p>
        </w:tc>
        <w:tc>
          <w:tcPr>
            <w:tcW w:w="7345" w:type="dxa"/>
          </w:tcPr>
          <w:p w14:paraId="4B2EBF9B">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及时响应：具备客户服务专线电话，24小时*365天有工程师接听</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拨打电话后1小时内，</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工程师应回电协助</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即时诊断故障解决问题。在电话支持不能解决</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故障的情况下，</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应派遣工程师赴现场维修相关设备，工程师应不超过24小时内到达现场。如诊断出需要更换零备件后，常规零备件到达医院的时间最长不超过48小时（仓库全365天响应）。</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。供应商对约定范围内的维保设备故障无法解决时，</w:t>
            </w:r>
            <w:r>
              <w:rPr>
                <w:rFonts w:hint="eastAsia" w:ascii="仿宋" w:hAnsi="仿宋" w:eastAsia="仿宋"/>
                <w:bCs/>
                <w:color w:val="000000" w:themeColor="text1"/>
                <w:szCs w:val="21"/>
                <w:highlight w:val="none"/>
                <w:lang w:val="en-US" w:eastAsia="zh-CN"/>
                <w14:textFill>
                  <w14:solidFill>
                    <w14:schemeClr w14:val="tx1"/>
                  </w14:solidFill>
                </w14:textFill>
              </w:rPr>
              <w:t>采购人</w:t>
            </w:r>
            <w:r>
              <w:rPr>
                <w:rFonts w:hint="eastAsia" w:ascii="仿宋" w:hAnsi="仿宋" w:eastAsia="仿宋"/>
                <w:bCs/>
                <w:color w:val="000000" w:themeColor="text1"/>
                <w:szCs w:val="21"/>
                <w:highlight w:val="none"/>
                <w:lang w:val="zh-CN"/>
                <w14:textFill>
                  <w14:solidFill>
                    <w14:schemeClr w14:val="tx1"/>
                  </w14:solidFill>
                </w14:textFill>
              </w:rPr>
              <w:t>有权直接委托厂家售后或其他第三方进行维修，由此产生的一切费用由</w:t>
            </w:r>
            <w:r>
              <w:rPr>
                <w:rFonts w:hint="eastAsia" w:ascii="仿宋" w:hAnsi="仿宋" w:eastAsia="仿宋"/>
                <w:bCs/>
                <w:color w:val="000000" w:themeColor="text1"/>
                <w:szCs w:val="21"/>
                <w:highlight w:val="none"/>
                <w:lang w:val="en-US" w:eastAsia="zh-CN"/>
                <w14:textFill>
                  <w14:solidFill>
                    <w14:schemeClr w14:val="tx1"/>
                  </w14:solidFill>
                </w14:textFill>
              </w:rPr>
              <w:t>供应商</w:t>
            </w:r>
            <w:r>
              <w:rPr>
                <w:rFonts w:hint="eastAsia" w:ascii="仿宋" w:hAnsi="仿宋" w:eastAsia="仿宋"/>
                <w:bCs/>
                <w:color w:val="000000" w:themeColor="text1"/>
                <w:szCs w:val="21"/>
                <w:highlight w:val="none"/>
                <w:lang w:val="zh-CN"/>
                <w14:textFill>
                  <w14:solidFill>
                    <w14:schemeClr w14:val="tx1"/>
                  </w14:solidFill>
                </w14:textFill>
              </w:rPr>
              <w:t>负责。</w:t>
            </w:r>
            <w:r>
              <w:rPr>
                <w:rFonts w:hint="eastAsia" w:ascii="仿宋" w:hAnsi="仿宋" w:eastAsia="仿宋"/>
                <w:b/>
                <w:bCs w:val="0"/>
                <w:color w:val="000000" w:themeColor="text1"/>
                <w:szCs w:val="21"/>
                <w:highlight w:val="none"/>
                <w:lang w:val="zh-CN"/>
                <w14:textFill>
                  <w14:solidFill>
                    <w14:schemeClr w14:val="tx1"/>
                  </w14:solidFill>
                </w14:textFill>
              </w:rPr>
              <w:t>提供相应承诺函（格式自拟，但须包含上述内容）</w:t>
            </w:r>
            <w:r>
              <w:rPr>
                <w:rFonts w:hint="eastAsia" w:ascii="仿宋" w:hAnsi="仿宋" w:eastAsia="仿宋"/>
                <w:bCs/>
                <w:color w:val="000000" w:themeColor="text1"/>
                <w:szCs w:val="21"/>
                <w:highlight w:val="none"/>
                <w:lang w:val="zh-CN"/>
                <w14:textFill>
                  <w14:solidFill>
                    <w14:schemeClr w14:val="tx1"/>
                  </w14:solidFill>
                </w14:textFill>
              </w:rPr>
              <w:t>。</w:t>
            </w:r>
          </w:p>
        </w:tc>
      </w:tr>
      <w:tr w14:paraId="273204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1" w:hRule="atLeast"/>
        </w:trPr>
        <w:tc>
          <w:tcPr>
            <w:tcW w:w="675" w:type="dxa"/>
          </w:tcPr>
          <w:p w14:paraId="5110EE9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9</w:t>
            </w:r>
          </w:p>
        </w:tc>
        <w:tc>
          <w:tcPr>
            <w:tcW w:w="735" w:type="dxa"/>
          </w:tcPr>
          <w:p w14:paraId="0985338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其他约定</w:t>
            </w:r>
          </w:p>
        </w:tc>
        <w:tc>
          <w:tcPr>
            <w:tcW w:w="7345" w:type="dxa"/>
          </w:tcPr>
          <w:p w14:paraId="1506613C">
            <w:pPr>
              <w:spacing w:line="320" w:lineRule="exact"/>
              <w:jc w:val="left"/>
              <w:rPr>
                <w:rFonts w:hint="eastAsia"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开机率：供应商应保证所维保设备的年工作日开机率达到96%（一年按照365天核定），未达到按照1:3比例顺延保修期时间。</w:t>
            </w:r>
            <w:r>
              <w:rPr>
                <w:rFonts w:hint="eastAsia" w:ascii="仿宋" w:hAnsi="仿宋" w:eastAsia="仿宋"/>
                <w:b/>
                <w:bCs w:val="0"/>
                <w:color w:val="000000" w:themeColor="text1"/>
                <w:szCs w:val="21"/>
                <w:highlight w:val="none"/>
                <w:lang w:val="zh-CN"/>
                <w14:textFill>
                  <w14:solidFill>
                    <w14:schemeClr w14:val="tx1"/>
                  </w14:solidFill>
                </w14:textFill>
              </w:rPr>
              <w:t>提供承诺函（格式自拟，但须包含上述内容）。</w:t>
            </w:r>
          </w:p>
        </w:tc>
      </w:tr>
      <w:tr w14:paraId="214B46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B11A87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10</w:t>
            </w:r>
          </w:p>
        </w:tc>
        <w:tc>
          <w:tcPr>
            <w:tcW w:w="735" w:type="dxa"/>
          </w:tcPr>
          <w:p w14:paraId="41D6FCA3">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29D3293E">
            <w:pPr>
              <w:spacing w:line="320" w:lineRule="exact"/>
              <w:jc w:val="left"/>
              <w:rPr>
                <w:rFonts w:ascii="仿宋" w:hAnsi="仿宋" w:eastAsia="仿宋"/>
                <w:b/>
                <w:bCs w:val="0"/>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在过去的服务项目中未发生导致设备重大损坏的维修事故。</w:t>
            </w:r>
            <w:r>
              <w:rPr>
                <w:rFonts w:hint="eastAsia" w:ascii="仿宋" w:hAnsi="仿宋" w:eastAsia="仿宋"/>
                <w:b/>
                <w:bCs w:val="0"/>
                <w:color w:val="000000" w:themeColor="text1"/>
                <w:szCs w:val="21"/>
                <w:highlight w:val="none"/>
                <w:lang w:val="zh-CN"/>
                <w14:textFill>
                  <w14:solidFill>
                    <w14:schemeClr w14:val="tx1"/>
                  </w14:solidFill>
                </w14:textFill>
              </w:rPr>
              <w:t>提供承诺函（格式自拟，但须包含上述内容）。</w:t>
            </w:r>
          </w:p>
          <w:p w14:paraId="40898456">
            <w:pPr>
              <w:spacing w:line="320" w:lineRule="exact"/>
              <w:jc w:val="left"/>
              <w:rPr>
                <w:rFonts w:ascii="仿宋" w:hAnsi="仿宋" w:eastAsia="仿宋"/>
                <w:bCs/>
                <w:color w:val="000000" w:themeColor="text1"/>
                <w:szCs w:val="21"/>
                <w:highlight w:val="none"/>
                <w14:textFill>
                  <w14:solidFill>
                    <w14:schemeClr w14:val="tx1"/>
                  </w14:solidFill>
                </w14:textFill>
              </w:rPr>
            </w:pPr>
          </w:p>
        </w:tc>
      </w:tr>
      <w:tr w14:paraId="447D30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600A416">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11</w:t>
            </w:r>
          </w:p>
        </w:tc>
        <w:tc>
          <w:tcPr>
            <w:tcW w:w="735" w:type="dxa"/>
          </w:tcPr>
          <w:p w14:paraId="5121496C">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41A78218">
            <w:pPr>
              <w:spacing w:line="320" w:lineRule="exact"/>
              <w:jc w:val="left"/>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供应商在实施过程中必须建立健全的设备保养制度，提供维保工作记录，工单应一式叁份，采购人设备管理部门和设备使用科室以及供应商各一份。</w:t>
            </w:r>
          </w:p>
        </w:tc>
      </w:tr>
      <w:tr w14:paraId="1D2C81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3625D2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12</w:t>
            </w:r>
          </w:p>
        </w:tc>
        <w:tc>
          <w:tcPr>
            <w:tcW w:w="735" w:type="dxa"/>
          </w:tcPr>
          <w:p w14:paraId="304460A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469CF83A">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供应商应提供完善的服务响应方案，其中：维保方案包含专项组织机构、现场管理制度、驻场工程师标准作业程序、质量保障措施、维修维护计划及应急预案等。</w:t>
            </w:r>
          </w:p>
          <w:p w14:paraId="3BDEBBC5">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11F3E5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ED956BA">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13</w:t>
            </w:r>
          </w:p>
        </w:tc>
        <w:tc>
          <w:tcPr>
            <w:tcW w:w="735" w:type="dxa"/>
          </w:tcPr>
          <w:p w14:paraId="6CFB37C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0F197EC2">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协助医院设备科按国家主管部门要求对所维保设备进行每年度 1 次的质控检测评估，并出具评估报告。</w:t>
            </w:r>
          </w:p>
        </w:tc>
      </w:tr>
      <w:tr w14:paraId="4D0664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2A471A01">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14</w:t>
            </w:r>
          </w:p>
        </w:tc>
        <w:tc>
          <w:tcPr>
            <w:tcW w:w="735" w:type="dxa"/>
          </w:tcPr>
          <w:p w14:paraId="18DDA9C4">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50AC99FE">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院方依据临床客户满意度调查表每半年做一次满意度评分，90 分以上时为优秀；80-90分属于合格，需要提升服务能力；70-80 分，进行谈话整改；60-70 分，进行谈话整改并按2%处罚服务费；60 分以下时，进行谈话未整改的，院方有权随时终止合同并追究责任扣罚履约保证金。</w:t>
            </w:r>
          </w:p>
          <w:p w14:paraId="7556C50E">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76BB23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474269E7">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15</w:t>
            </w:r>
          </w:p>
        </w:tc>
        <w:tc>
          <w:tcPr>
            <w:tcW w:w="735" w:type="dxa"/>
          </w:tcPr>
          <w:p w14:paraId="04D861DA">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760F6049">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经第三方鉴定后，供应商在维修过程中，造成医院设备设施损坏、医疗责任事故等，由供应商承担损失及赔偿。</w:t>
            </w:r>
          </w:p>
          <w:p w14:paraId="3BC85352">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r w14:paraId="358735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22BF177D">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16</w:t>
            </w:r>
          </w:p>
        </w:tc>
        <w:tc>
          <w:tcPr>
            <w:tcW w:w="735" w:type="dxa"/>
          </w:tcPr>
          <w:p w14:paraId="0C3349C2">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3EFF5296">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供应商须提交一份正在提供</w:t>
            </w:r>
            <w:r>
              <w:rPr>
                <w:rFonts w:hint="eastAsia" w:ascii="仿宋" w:hAnsi="仿宋" w:eastAsia="仿宋"/>
                <w:bCs/>
                <w:color w:val="000000" w:themeColor="text1"/>
                <w:szCs w:val="21"/>
                <w:highlight w:val="none"/>
                <w14:textFill>
                  <w14:solidFill>
                    <w14:schemeClr w14:val="tx1"/>
                  </w14:solidFill>
                </w14:textFill>
              </w:rPr>
              <w:t>64排及以上</w:t>
            </w:r>
            <w:r>
              <w:rPr>
                <w:rFonts w:hint="eastAsia" w:ascii="仿宋" w:hAnsi="仿宋" w:eastAsia="仿宋"/>
                <w:bCs/>
                <w:color w:val="000000" w:themeColor="text1"/>
                <w:szCs w:val="21"/>
                <w:highlight w:val="none"/>
                <w:lang w:val="zh-CN"/>
                <w14:textFill>
                  <w14:solidFill>
                    <w14:schemeClr w14:val="tx1"/>
                  </w14:solidFill>
                </w14:textFill>
              </w:rPr>
              <w:t>设备全保服务的</w:t>
            </w:r>
            <w:r>
              <w:rPr>
                <w:rFonts w:hint="eastAsia" w:ascii="仿宋" w:hAnsi="仿宋" w:eastAsia="仿宋"/>
                <w:b/>
                <w:bCs w:val="0"/>
                <w:color w:val="000000" w:themeColor="text1"/>
                <w:szCs w:val="21"/>
                <w:highlight w:val="none"/>
                <w:lang w:val="zh-CN"/>
                <w14:textFill>
                  <w14:solidFill>
                    <w14:schemeClr w14:val="tx1"/>
                  </w14:solidFill>
                </w14:textFill>
              </w:rPr>
              <w:t>业绩合同原件扫描件（遮盖或不清晰或不全面按无效业绩，原件待成交后备查）</w:t>
            </w:r>
            <w:r>
              <w:rPr>
                <w:rFonts w:hint="eastAsia" w:ascii="仿宋" w:hAnsi="仿宋" w:eastAsia="仿宋"/>
                <w:bCs/>
                <w:color w:val="000000" w:themeColor="text1"/>
                <w:szCs w:val="21"/>
                <w:highlight w:val="none"/>
                <w:lang w:val="zh-CN"/>
                <w14:textFill>
                  <w14:solidFill>
                    <w14:schemeClr w14:val="tx1"/>
                  </w14:solidFill>
                </w14:textFill>
              </w:rPr>
              <w:t>。</w:t>
            </w:r>
          </w:p>
        </w:tc>
      </w:tr>
      <w:tr w14:paraId="736CF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1E466B0F">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17</w:t>
            </w:r>
          </w:p>
        </w:tc>
        <w:tc>
          <w:tcPr>
            <w:tcW w:w="735" w:type="dxa"/>
          </w:tcPr>
          <w:p w14:paraId="76735298">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55850865">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zh-CN"/>
                <w14:textFill>
                  <w14:solidFill>
                    <w14:schemeClr w14:val="tx1"/>
                  </w14:solidFill>
                </w14:textFill>
              </w:rPr>
              <w:t>供应商在维保期间须提供软件免费升级和培训服务，培训效果须满足临床需求，否则院方有权邀请其他供应商提供升级培训服务，由此造成与软件免费升级和培训服务有关的差价、措施费等费用由供应商承担，此损失先在供应商履约保证金中承担（供应商自扣除之日起</w:t>
            </w:r>
            <w:r>
              <w:rPr>
                <w:rFonts w:hint="eastAsia" w:ascii="仿宋" w:hAnsi="仿宋" w:eastAsia="仿宋"/>
                <w:bCs/>
                <w:color w:val="000000" w:themeColor="text1"/>
                <w:szCs w:val="21"/>
                <w:highlight w:val="none"/>
                <w14:textFill>
                  <w14:solidFill>
                    <w14:schemeClr w14:val="tx1"/>
                  </w14:solidFill>
                </w14:textFill>
              </w:rPr>
              <w:t>5个日历天内足额补齐履约保证金，否则视同</w:t>
            </w:r>
            <w:r>
              <w:rPr>
                <w:rFonts w:hint="eastAsia" w:ascii="仿宋" w:hAnsi="仿宋" w:eastAsia="仿宋"/>
                <w:bCs/>
                <w:color w:val="000000" w:themeColor="text1"/>
                <w:szCs w:val="21"/>
                <w:highlight w:val="none"/>
                <w:lang w:val="zh-CN"/>
                <w14:textFill>
                  <w14:solidFill>
                    <w14:schemeClr w14:val="tx1"/>
                  </w14:solidFill>
                </w14:textFill>
              </w:rPr>
              <w:t>供应商</w:t>
            </w:r>
            <w:r>
              <w:rPr>
                <w:rFonts w:hint="eastAsia" w:ascii="仿宋" w:hAnsi="仿宋" w:eastAsia="仿宋"/>
                <w:bCs/>
                <w:color w:val="000000" w:themeColor="text1"/>
                <w:szCs w:val="21"/>
                <w:highlight w:val="none"/>
                <w14:textFill>
                  <w14:solidFill>
                    <w14:schemeClr w14:val="tx1"/>
                  </w14:solidFill>
                </w14:textFill>
              </w:rPr>
              <w:t>自愿解除合同，院方不予退还剩余履约保证金</w:t>
            </w:r>
            <w:r>
              <w:rPr>
                <w:rFonts w:hint="eastAsia" w:ascii="仿宋" w:hAnsi="仿宋" w:eastAsia="仿宋"/>
                <w:bCs/>
                <w:color w:val="000000" w:themeColor="text1"/>
                <w:szCs w:val="21"/>
                <w:highlight w:val="none"/>
                <w:lang w:val="zh-CN"/>
                <w14:textFill>
                  <w14:solidFill>
                    <w14:schemeClr w14:val="tx1"/>
                  </w14:solidFill>
                </w14:textFill>
              </w:rPr>
              <w:t>），履约保证金不足的则在供应商</w:t>
            </w:r>
            <w:r>
              <w:rPr>
                <w:rFonts w:hint="eastAsia" w:ascii="仿宋" w:hAnsi="仿宋" w:eastAsia="仿宋"/>
                <w:bCs/>
                <w:color w:val="000000" w:themeColor="text1"/>
                <w:szCs w:val="21"/>
                <w:highlight w:val="none"/>
                <w:lang w:val="en-US" w:eastAsia="zh-CN"/>
                <w14:textFill>
                  <w14:solidFill>
                    <w14:schemeClr w14:val="tx1"/>
                  </w14:solidFill>
                </w14:textFill>
              </w:rPr>
              <w:t>服务费</w:t>
            </w:r>
            <w:r>
              <w:rPr>
                <w:rFonts w:hint="eastAsia" w:ascii="仿宋" w:hAnsi="仿宋" w:eastAsia="仿宋"/>
                <w:bCs/>
                <w:color w:val="000000" w:themeColor="text1"/>
                <w:szCs w:val="21"/>
                <w:highlight w:val="none"/>
                <w:lang w:val="zh-CN"/>
                <w14:textFill>
                  <w14:solidFill>
                    <w14:schemeClr w14:val="tx1"/>
                  </w14:solidFill>
                </w14:textFill>
              </w:rPr>
              <w:t>中扣除。</w:t>
            </w:r>
          </w:p>
        </w:tc>
      </w:tr>
      <w:tr w14:paraId="3DB0C7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774A139">
            <w:pPr>
              <w:spacing w:line="320" w:lineRule="exact"/>
              <w:jc w:val="center"/>
              <w:rPr>
                <w:rFonts w:ascii="仿宋" w:hAnsi="仿宋" w:eastAsia="仿宋"/>
                <w:bCs/>
                <w:color w:val="000000" w:themeColor="text1"/>
                <w:szCs w:val="21"/>
                <w:highlight w:val="none"/>
                <w14:textFill>
                  <w14:solidFill>
                    <w14:schemeClr w14:val="tx1"/>
                  </w14:solidFill>
                </w14:textFill>
              </w:rPr>
            </w:pPr>
            <w:r>
              <w:rPr>
                <w:rFonts w:hint="eastAsia" w:ascii="仿宋" w:hAnsi="仿宋" w:eastAsia="仿宋"/>
                <w:bCs/>
                <w:color w:val="000000" w:themeColor="text1"/>
                <w:szCs w:val="21"/>
                <w:highlight w:val="none"/>
                <w14:textFill>
                  <w14:solidFill>
                    <w14:schemeClr w14:val="tx1"/>
                  </w14:solidFill>
                </w14:textFill>
              </w:rPr>
              <w:t>18</w:t>
            </w:r>
          </w:p>
        </w:tc>
        <w:tc>
          <w:tcPr>
            <w:tcW w:w="735" w:type="dxa"/>
          </w:tcPr>
          <w:p w14:paraId="27497DCC">
            <w:pPr>
              <w:spacing w:line="320" w:lineRule="exact"/>
              <w:jc w:val="center"/>
              <w:rPr>
                <w:rFonts w:ascii="仿宋" w:hAnsi="仿宋" w:eastAsia="仿宋"/>
                <w:bCs/>
                <w:color w:val="000000" w:themeColor="text1"/>
                <w:szCs w:val="21"/>
                <w:highlight w:val="none"/>
                <w14:textFill>
                  <w14:solidFill>
                    <w14:schemeClr w14:val="tx1"/>
                  </w14:solidFill>
                </w14:textFill>
              </w:rPr>
            </w:pPr>
          </w:p>
        </w:tc>
        <w:tc>
          <w:tcPr>
            <w:tcW w:w="7345" w:type="dxa"/>
          </w:tcPr>
          <w:p w14:paraId="705A62F8">
            <w:pPr>
              <w:spacing w:line="320" w:lineRule="exact"/>
              <w:jc w:val="left"/>
              <w:rPr>
                <w:rFonts w:ascii="仿宋" w:hAnsi="仿宋" w:eastAsia="仿宋"/>
                <w:bCs/>
                <w:color w:val="000000" w:themeColor="text1"/>
                <w:szCs w:val="21"/>
                <w:highlight w:val="none"/>
                <w:lang w:val="zh-CN"/>
                <w14:textFill>
                  <w14:solidFill>
                    <w14:schemeClr w14:val="tx1"/>
                  </w14:solidFill>
                </w14:textFill>
              </w:rPr>
            </w:pPr>
            <w:r>
              <w:rPr>
                <w:rFonts w:hint="eastAsia" w:ascii="仿宋" w:hAnsi="仿宋" w:eastAsia="仿宋"/>
                <w:bCs/>
                <w:color w:val="000000" w:themeColor="text1"/>
                <w:szCs w:val="21"/>
                <w:highlight w:val="none"/>
                <w:lang w:val="en-US" w:eastAsia="zh-CN"/>
                <w14:textFill>
                  <w14:solidFill>
                    <w14:schemeClr w14:val="tx1"/>
                  </w14:solidFill>
                </w14:textFill>
              </w:rPr>
              <w:t>响应</w:t>
            </w:r>
            <w:r>
              <w:rPr>
                <w:rFonts w:hint="eastAsia" w:ascii="仿宋" w:hAnsi="仿宋" w:eastAsia="仿宋"/>
                <w:bCs/>
                <w:color w:val="000000" w:themeColor="text1"/>
                <w:szCs w:val="21"/>
                <w:highlight w:val="none"/>
                <w:lang w:val="zh-CN"/>
                <w14:textFill>
                  <w14:solidFill>
                    <w14:schemeClr w14:val="tx1"/>
                  </w14:solidFill>
                </w14:textFill>
              </w:rPr>
              <w:t>报价须为交钥匙价格（即在</w:t>
            </w:r>
            <w:r>
              <w:rPr>
                <w:rFonts w:hint="eastAsia" w:ascii="仿宋" w:hAnsi="仿宋" w:eastAsia="仿宋"/>
                <w:bCs/>
                <w:color w:val="000000" w:themeColor="text1"/>
                <w:szCs w:val="21"/>
                <w:highlight w:val="none"/>
                <w:lang w:val="en-US" w:eastAsia="zh-CN"/>
                <w14:textFill>
                  <w14:solidFill>
                    <w14:schemeClr w14:val="tx1"/>
                  </w14:solidFill>
                </w14:textFill>
              </w:rPr>
              <w:t>服务</w:t>
            </w:r>
            <w:r>
              <w:rPr>
                <w:rFonts w:hint="eastAsia" w:ascii="仿宋" w:hAnsi="仿宋" w:eastAsia="仿宋"/>
                <w:bCs/>
                <w:color w:val="000000" w:themeColor="text1"/>
                <w:szCs w:val="21"/>
                <w:highlight w:val="none"/>
                <w:lang w:val="zh-CN"/>
                <w14:textFill>
                  <w14:solidFill>
                    <w14:schemeClr w14:val="tx1"/>
                  </w14:solidFill>
                </w14:textFill>
              </w:rPr>
              <w:t>期限内，报价须包含设备正常运行所必须的一切费用，采购人不支付任何费用，供应商对设备正常运行负兜底责任）。</w:t>
            </w:r>
            <w:r>
              <w:rPr>
                <w:rFonts w:hint="eastAsia" w:ascii="仿宋" w:hAnsi="仿宋" w:eastAsia="仿宋"/>
                <w:bCs/>
                <w:color w:val="000000" w:themeColor="text1"/>
                <w:szCs w:val="21"/>
                <w:highlight w:val="none"/>
                <w:lang w:val="zh-CN"/>
                <w14:textFill>
                  <w14:solidFill>
                    <w14:schemeClr w14:val="tx1"/>
                  </w14:solidFill>
                </w14:textFill>
              </w:rPr>
              <w:tab/>
            </w:r>
            <w:r>
              <w:rPr>
                <w:rFonts w:hint="eastAsia" w:ascii="仿宋" w:hAnsi="仿宋" w:eastAsia="仿宋"/>
                <w:bCs/>
                <w:color w:val="000000" w:themeColor="text1"/>
                <w:szCs w:val="21"/>
                <w:highlight w:val="none"/>
                <w:lang w:val="zh-CN"/>
                <w14:textFill>
                  <w14:solidFill>
                    <w14:schemeClr w14:val="tx1"/>
                  </w14:solidFill>
                </w14:textFill>
              </w:rPr>
              <w:tab/>
            </w:r>
          </w:p>
          <w:p w14:paraId="0B4E47BD">
            <w:pPr>
              <w:spacing w:line="320" w:lineRule="exact"/>
              <w:jc w:val="left"/>
              <w:rPr>
                <w:rFonts w:ascii="仿宋" w:hAnsi="仿宋" w:eastAsia="仿宋"/>
                <w:bCs/>
                <w:color w:val="000000" w:themeColor="text1"/>
                <w:szCs w:val="21"/>
                <w:highlight w:val="none"/>
                <w:lang w:val="zh-CN"/>
                <w14:textFill>
                  <w14:solidFill>
                    <w14:schemeClr w14:val="tx1"/>
                  </w14:solidFill>
                </w14:textFill>
              </w:rPr>
            </w:pPr>
          </w:p>
        </w:tc>
      </w:tr>
    </w:tbl>
    <w:p w14:paraId="552D63EA">
      <w:pPr>
        <w:spacing w:line="360" w:lineRule="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w:t>
      </w:r>
      <w:r>
        <w:rPr>
          <w:rFonts w:hint="eastAsia" w:ascii="宋体" w:hAnsi="宋体" w:eastAsia="宋体" w:cs="宋体"/>
          <w:color w:val="000000" w:themeColor="text1"/>
          <w:sz w:val="28"/>
          <w:szCs w:val="28"/>
          <w:highlight w:val="none"/>
          <w:lang w:val="en-US" w:eastAsia="zh-CN"/>
          <w14:textFill>
            <w14:solidFill>
              <w14:schemeClr w14:val="tx1"/>
            </w14:solidFill>
          </w14:textFill>
        </w:rPr>
        <w:t>评审方法</w:t>
      </w:r>
      <w:bookmarkEnd w:id="108"/>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（一）</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w:t>
      </w:r>
      <w:r>
        <w:rPr>
          <w:rFonts w:hint="eastAsia" w:ascii="宋体" w:hAnsi="宋体" w:cs="宋体"/>
          <w:b/>
          <w:bCs/>
          <w:color w:val="000000" w:themeColor="text1"/>
          <w:spacing w:val="-2"/>
          <w:sz w:val="24"/>
          <w:szCs w:val="24"/>
          <w:highlight w:val="none"/>
          <w:u w:val="none"/>
          <w:lang w:eastAsia="zh-CN"/>
          <w14:textFill>
            <w14:solidFill>
              <w14:schemeClr w14:val="tx1"/>
            </w14:solidFill>
          </w14:textFill>
        </w:rPr>
        <w:t>及实质性响应</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采购人或代理机构对供应商的资格及实质性响应情况进行审查，审查响应文件是否响应了</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采购文件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41580925">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10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eastAsia="zh-CN"/>
                <w14:textFill>
                  <w14:solidFill>
                    <w14:schemeClr w14:val="tx1"/>
                  </w14:solidFill>
                </w14:textFill>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不符合</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eastAsia="zh-CN"/>
                <w14:textFill>
                  <w14:solidFill>
                    <w14:schemeClr w14:val="tx1"/>
                  </w14:solidFill>
                </w14:textFill>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2.供应商在响应文件中无需提供证明材料，由采购人或者采购代理机构查询供应商的信用记录，信用记录以</w:t>
            </w:r>
            <w:r>
              <w:rPr>
                <w:rFonts w:hint="eastAsia" w:ascii="宋体" w:hAnsi="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4.在上述规定的查询时间之外，网站信息发生的任何变更均不作为资格审查依据。</w:t>
            </w:r>
            <w:r>
              <w:rPr>
                <w:rFonts w:hint="eastAsia" w:ascii="宋体" w:hAnsi="宋体" w:eastAsia="宋体" w:cs="宋体"/>
                <w:color w:val="000000" w:themeColor="text1"/>
                <w:sz w:val="24"/>
                <w:szCs w:val="24"/>
                <w:highlight w:val="none"/>
                <w:lang w:eastAsia="zh-CN"/>
                <w14:textFill>
                  <w14:solidFill>
                    <w14:schemeClr w14:val="tx1"/>
                  </w14:solidFill>
                </w14:textFill>
              </w:rPr>
              <w:br w:type="textWrapping"/>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文件采购需求中</w:t>
            </w:r>
            <w:r>
              <w:rPr>
                <w:rFonts w:hint="eastAsia" w:ascii="宋体" w:hAnsi="宋体" w:eastAsia="宋体" w:cs="宋体"/>
                <w:color w:val="000000" w:themeColor="text1"/>
                <w:sz w:val="24"/>
                <w:szCs w:val="24"/>
                <w:highlight w:val="none"/>
                <w:lang w:eastAsia="zh-CN"/>
                <w14:textFill>
                  <w14:solidFill>
                    <w14:schemeClr w14:val="tx1"/>
                  </w14:solidFill>
                </w14:textFill>
              </w:rPr>
              <w:t>实质性响应</w:t>
            </w:r>
            <w:r>
              <w:rPr>
                <w:rFonts w:hint="eastAsia" w:ascii="宋体" w:hAnsi="宋体" w:eastAsia="宋体" w:cs="宋体"/>
                <w:color w:val="000000" w:themeColor="text1"/>
                <w:sz w:val="24"/>
                <w:szCs w:val="24"/>
                <w:highlight w:val="none"/>
                <w14:textFill>
                  <w14:solidFill>
                    <w14:schemeClr w14:val="tx1"/>
                  </w14:solidFill>
                </w14:textFill>
              </w:rPr>
              <w:t>技术参数</w:t>
            </w:r>
            <w:r>
              <w:rPr>
                <w:rFonts w:hint="eastAsia" w:ascii="宋体" w:hAnsi="宋体" w:eastAsia="宋体" w:cs="宋体"/>
                <w:color w:val="000000" w:themeColor="text1"/>
                <w:sz w:val="24"/>
                <w:szCs w:val="24"/>
                <w:highlight w:val="none"/>
                <w:lang w:eastAsia="zh-CN"/>
                <w14:textFill>
                  <w14:solidFill>
                    <w14:schemeClr w14:val="tx1"/>
                  </w14:solidFill>
                </w14:textFill>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color w:val="000000" w:themeColor="text1"/>
                <w:sz w:val="24"/>
                <w:szCs w:val="24"/>
                <w:highlight w:val="none"/>
                <w:lang w:eastAsia="zh-CN"/>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6233" w:type="dxa"/>
            <w:shd w:val="clear" w:color="auto" w:fill="auto"/>
            <w:vAlign w:val="center"/>
          </w:tcPr>
          <w:p w14:paraId="0F079AB2">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未按采购文件规定进行二轮报价的，属于响应文件有效组成部分缺失，</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FE6302D">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超出项目预算金额或最高限价的，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B9E63CF">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000000" w:themeColor="text1"/>
                <w:sz w:val="24"/>
                <w:szCs w:val="24"/>
                <w:highlight w:val="none"/>
                <w14:textFill>
                  <w14:solidFill>
                    <w14:schemeClr w14:val="tx1"/>
                  </w14:solidFill>
                </w14:textFill>
              </w:rPr>
              <w:t>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p>
    <w:p w14:paraId="1815D6FE">
      <w:pPr>
        <w:rPr>
          <w:rFonts w:hint="eastAsia" w:ascii="宋体" w:hAnsi="宋体" w:eastAsia="宋体" w:cs="宋体"/>
          <w:color w:val="000000" w:themeColor="text1"/>
          <w:sz w:val="28"/>
          <w:szCs w:val="28"/>
          <w:highlight w:val="none"/>
          <w:lang w:eastAsia="zh-CN"/>
          <w14:textFill>
            <w14:solidFill>
              <w14:schemeClr w14:val="tx1"/>
            </w14:solidFill>
          </w14:textFill>
        </w:rPr>
      </w:pPr>
      <w:bookmarkStart w:id="109" w:name="_Toc1778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638F74A2">
      <w:pPr>
        <w:pStyle w:val="3"/>
        <w:spacing w:before="0" w:after="0" w:line="560" w:lineRule="exact"/>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109"/>
    </w:p>
    <w:p w14:paraId="25EEBC68">
      <w:pPr>
        <w:spacing w:line="500" w:lineRule="exact"/>
        <w:jc w:val="right"/>
        <w:rPr>
          <w:rFonts w:hint="default" w:ascii="宋体" w:hAnsi="宋体" w:eastAsia="宋体"/>
          <w:b/>
          <w:color w:val="000000" w:themeColor="text1"/>
          <w:sz w:val="32"/>
          <w:highlight w:val="none"/>
          <w:lang w:val="en-US" w:eastAsia="zh-CN"/>
          <w14:textFill>
            <w14:solidFill>
              <w14:schemeClr w14:val="tx1"/>
            </w14:solidFill>
          </w14:textFill>
        </w:rPr>
      </w:pPr>
      <w:r>
        <w:rPr>
          <w:rFonts w:hint="eastAsia" w:ascii="宋体" w:hAnsi="宋体"/>
          <w:b/>
          <w:color w:val="000000" w:themeColor="text1"/>
          <w:sz w:val="32"/>
          <w:highlight w:val="none"/>
          <w:lang w:val="en-US" w:eastAsia="zh-CN"/>
          <w14:textFill>
            <w14:solidFill>
              <w14:schemeClr w14:val="tx1"/>
            </w14:solidFill>
          </w14:textFill>
        </w:rPr>
        <w:t>正本/副本</w:t>
      </w:r>
    </w:p>
    <w:p w14:paraId="661DB4E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项目</w:t>
      </w:r>
    </w:p>
    <w:p w14:paraId="65F32AB0">
      <w:pPr>
        <w:spacing w:line="900" w:lineRule="exact"/>
        <w:rPr>
          <w:rFonts w:ascii="宋体" w:hAnsi="宋体"/>
          <w:b/>
          <w:color w:val="000000" w:themeColor="text1"/>
          <w:sz w:val="72"/>
          <w:highlight w:val="none"/>
          <w14:textFill>
            <w14:solidFill>
              <w14:schemeClr w14:val="tx1"/>
            </w14:solidFill>
          </w14:textFill>
        </w:rPr>
      </w:pPr>
    </w:p>
    <w:p w14:paraId="6F03316F">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54B19A26">
      <w:pPr>
        <w:spacing w:line="900" w:lineRule="exact"/>
        <w:jc w:val="center"/>
        <w:rPr>
          <w:rFonts w:ascii="宋体" w:hAnsi="宋体"/>
          <w:b/>
          <w:color w:val="000000" w:themeColor="text1"/>
          <w:sz w:val="72"/>
          <w:highlight w:val="none"/>
          <w14:textFill>
            <w14:solidFill>
              <w14:schemeClr w14:val="tx1"/>
            </w14:solidFill>
          </w14:textFill>
        </w:rPr>
      </w:pPr>
    </w:p>
    <w:p w14:paraId="1152C453">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2D9E387B">
      <w:pPr>
        <w:spacing w:line="900" w:lineRule="exact"/>
        <w:jc w:val="center"/>
        <w:rPr>
          <w:rFonts w:ascii="宋体" w:hAnsi="宋体"/>
          <w:b/>
          <w:color w:val="000000" w:themeColor="text1"/>
          <w:sz w:val="72"/>
          <w:highlight w:val="none"/>
          <w14:textFill>
            <w14:solidFill>
              <w14:schemeClr w14:val="tx1"/>
            </w14:solidFill>
          </w14:textFill>
        </w:rPr>
      </w:pPr>
    </w:p>
    <w:p w14:paraId="43D953DB">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36C3E173">
      <w:pPr>
        <w:spacing w:line="900" w:lineRule="exact"/>
        <w:jc w:val="center"/>
        <w:rPr>
          <w:rFonts w:ascii="宋体" w:hAnsi="宋体"/>
          <w:b/>
          <w:color w:val="000000" w:themeColor="text1"/>
          <w:sz w:val="72"/>
          <w:highlight w:val="none"/>
          <w14:textFill>
            <w14:solidFill>
              <w14:schemeClr w14:val="tx1"/>
            </w14:solidFill>
          </w14:textFill>
        </w:rPr>
      </w:pPr>
    </w:p>
    <w:p w14:paraId="220ABB72">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6967491D">
      <w:pPr>
        <w:spacing w:after="156" w:afterLines="50"/>
        <w:jc w:val="center"/>
        <w:rPr>
          <w:rFonts w:ascii="宋体" w:hAnsi="宋体"/>
          <w:b/>
          <w:color w:val="000000" w:themeColor="text1"/>
          <w:sz w:val="72"/>
          <w:highlight w:val="none"/>
          <w14:textFill>
            <w14:solidFill>
              <w14:schemeClr w14:val="tx1"/>
            </w14:solidFill>
          </w14:textFill>
        </w:rPr>
      </w:pPr>
    </w:p>
    <w:p w14:paraId="55494581">
      <w:pPr>
        <w:spacing w:after="156" w:afterLines="50" w:line="500" w:lineRule="exact"/>
        <w:jc w:val="center"/>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第</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u w:val="single"/>
          <w:lang w:val="en-US" w:eastAsia="zh-CN"/>
          <w14:textFill>
            <w14:solidFill>
              <w14:schemeClr w14:val="tx1"/>
            </w14:solidFill>
          </w14:textFill>
        </w:rPr>
        <w:t>/</w:t>
      </w:r>
      <w:r>
        <w:rPr>
          <w:rFonts w:hint="eastAsia" w:ascii="宋体" w:hAnsi="宋体"/>
          <w:b/>
          <w:color w:val="000000" w:themeColor="text1"/>
          <w:sz w:val="30"/>
          <w:szCs w:val="30"/>
          <w:highlight w:val="none"/>
          <w:u w:val="singl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包</w:t>
      </w:r>
    </w:p>
    <w:p w14:paraId="093B6D6F">
      <w:pPr>
        <w:spacing w:after="156" w:afterLines="50" w:line="500" w:lineRule="exact"/>
        <w:jc w:val="center"/>
        <w:rPr>
          <w:rFonts w:ascii="宋体" w:hAnsi="宋体"/>
          <w:b/>
          <w:color w:val="000000" w:themeColor="text1"/>
          <w:sz w:val="72"/>
          <w:highlight w:val="none"/>
          <w14:textFill>
            <w14:solidFill>
              <w14:schemeClr w14:val="tx1"/>
            </w14:solidFill>
          </w14:textFill>
        </w:rPr>
      </w:pPr>
    </w:p>
    <w:p w14:paraId="129CA775">
      <w:pPr>
        <w:spacing w:after="156" w:afterLines="50" w:line="500" w:lineRule="exact"/>
        <w:ind w:firstLine="1606" w:firstLineChars="500"/>
        <w:rPr>
          <w:rFonts w:ascii="宋体" w:hAnsi="宋体"/>
          <w:b/>
          <w:color w:val="000000" w:themeColor="text1"/>
          <w:sz w:val="32"/>
          <w:highlight w:val="none"/>
          <w:u w:val="singl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4689FFE">
      <w:pPr>
        <w:spacing w:after="156"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27CA624C">
      <w:pPr>
        <w:spacing w:after="156" w:afterLines="50" w:line="500" w:lineRule="exact"/>
        <w:jc w:val="center"/>
        <w:rPr>
          <w:rFonts w:ascii="宋体" w:hAnsi="宋体"/>
          <w:b/>
          <w:color w:val="000000" w:themeColor="text1"/>
          <w:sz w:val="32"/>
          <w:highlight w:val="none"/>
          <w14:textFill>
            <w14:solidFill>
              <w14:schemeClr w14:val="tx1"/>
            </w14:solidFill>
          </w14:textFill>
        </w:rPr>
      </w:pPr>
    </w:p>
    <w:p w14:paraId="1D402178">
      <w:pPr>
        <w:spacing w:line="360" w:lineRule="auto"/>
        <w:rPr>
          <w:rFonts w:ascii="宋体" w:hAnsi="宋体"/>
          <w:color w:val="000000" w:themeColor="text1"/>
          <w:sz w:val="24"/>
          <w:szCs w:val="28"/>
          <w:highlight w:val="none"/>
          <w14:textFill>
            <w14:solidFill>
              <w14:schemeClr w14:val="tx1"/>
            </w14:solidFill>
          </w14:textFill>
        </w:rPr>
      </w:pPr>
    </w:p>
    <w:bookmarkEnd w:id="106"/>
    <w:p w14:paraId="684385B9">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0" w:name="_Toc6123"/>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110"/>
    </w:p>
    <w:tbl>
      <w:tblPr>
        <w:tblStyle w:val="3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vAlign w:val="center"/>
          </w:tcPr>
          <w:p w14:paraId="01FE2FB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vAlign w:val="center"/>
          </w:tcPr>
          <w:p w14:paraId="7611B75E">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五</w:t>
            </w:r>
          </w:p>
        </w:tc>
        <w:tc>
          <w:tcPr>
            <w:tcW w:w="6038" w:type="dxa"/>
            <w:vAlign w:val="center"/>
          </w:tcPr>
          <w:p w14:paraId="531193A9">
            <w:pPr>
              <w:pStyle w:val="72"/>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六</w:t>
            </w:r>
          </w:p>
        </w:tc>
        <w:tc>
          <w:tcPr>
            <w:tcW w:w="6038" w:type="dxa"/>
            <w:vAlign w:val="center"/>
          </w:tcPr>
          <w:p w14:paraId="2DCF1682">
            <w:pPr>
              <w:pStyle w:val="72"/>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000000" w:themeColor="text1"/>
                <w:sz w:val="24"/>
                <w:highlight w:val="none"/>
                <w14:textFill>
                  <w14:solidFill>
                    <w14:schemeClr w14:val="tx1"/>
                  </w14:solidFill>
                </w14:textFill>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color w:val="000000" w:themeColor="text1"/>
                <w:sz w:val="24"/>
                <w:highlight w:val="none"/>
                <w:lang w:eastAsia="zh-CN"/>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000000" w:themeColor="text1"/>
                <w:sz w:val="24"/>
                <w:highlight w:val="none"/>
                <w:lang w:val="en-US" w:eastAsia="zh-CN"/>
                <w14:textFill>
                  <w14:solidFill>
                    <w14:schemeClr w14:val="tx1"/>
                  </w14:solidFill>
                </w14:textFill>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sz w:val="24"/>
                <w:highlight w:val="none"/>
                <w14:textFill>
                  <w14:solidFill>
                    <w14:schemeClr w14:val="tx1"/>
                  </w14:solidFill>
                </w14:textFill>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themeColor="text1"/>
                <w:sz w:val="24"/>
                <w:highlight w:val="none"/>
                <w14:textFill>
                  <w14:solidFill>
                    <w14:schemeClr w14:val="tx1"/>
                  </w14:solidFill>
                </w14:textFill>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color w:val="000000" w:themeColor="text1"/>
                <w:sz w:val="24"/>
                <w:highlight w:val="none"/>
                <w14:textFill>
                  <w14:solidFill>
                    <w14:schemeClr w14:val="tx1"/>
                  </w14:solidFill>
                </w14:textFill>
              </w:rPr>
            </w:pPr>
          </w:p>
        </w:tc>
      </w:tr>
    </w:tbl>
    <w:p w14:paraId="2100D4E2">
      <w:pPr>
        <w:spacing w:line="360" w:lineRule="auto"/>
        <w:jc w:val="center"/>
        <w:rPr>
          <w:rFonts w:ascii="宋体" w:hAnsi="宋体"/>
          <w:b/>
          <w:color w:val="000000" w:themeColor="text1"/>
          <w:sz w:val="24"/>
          <w:highlight w:val="none"/>
          <w14:textFill>
            <w14:solidFill>
              <w14:schemeClr w14:val="tx1"/>
            </w14:solidFill>
          </w14:textFill>
        </w:rPr>
      </w:pPr>
    </w:p>
    <w:p w14:paraId="51428424">
      <w:pPr>
        <w:spacing w:line="360" w:lineRule="auto"/>
        <w:jc w:val="center"/>
        <w:rPr>
          <w:rFonts w:ascii="宋体" w:hAnsi="宋体"/>
          <w:b/>
          <w:color w:val="000000" w:themeColor="text1"/>
          <w:sz w:val="24"/>
          <w:highlight w:val="none"/>
          <w14:textFill>
            <w14:solidFill>
              <w14:schemeClr w14:val="tx1"/>
            </w14:solidFill>
          </w14:textFill>
        </w:rPr>
      </w:pPr>
    </w:p>
    <w:p w14:paraId="3FD96538">
      <w:pPr>
        <w:spacing w:line="360" w:lineRule="auto"/>
        <w:jc w:val="center"/>
        <w:rPr>
          <w:rFonts w:ascii="宋体" w:hAnsi="宋体"/>
          <w:b/>
          <w:color w:val="000000" w:themeColor="text1"/>
          <w:sz w:val="24"/>
          <w:highlight w:val="none"/>
          <w14:textFill>
            <w14:solidFill>
              <w14:schemeClr w14:val="tx1"/>
            </w14:solidFill>
          </w14:textFill>
        </w:rPr>
      </w:pPr>
    </w:p>
    <w:p w14:paraId="1796BB5B">
      <w:pP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p>
    <w:p w14:paraId="4028F991">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1" w:name="_Toc2536"/>
      <w:r>
        <w:rPr>
          <w:rFonts w:hint="eastAsia" w:ascii="宋体" w:hAnsi="宋体" w:eastAsia="宋体" w:cs="宋体"/>
          <w:color w:val="000000" w:themeColor="text1"/>
          <w:sz w:val="24"/>
          <w:szCs w:val="24"/>
          <w:highlight w:val="none"/>
          <w14:textFill>
            <w14:solidFill>
              <w14:schemeClr w14:val="tx1"/>
            </w14:solidFill>
          </w14:textFill>
        </w:rPr>
        <w:t>附件一</w:t>
      </w:r>
      <w:bookmarkEnd w:id="111"/>
    </w:p>
    <w:p w14:paraId="7BC80258">
      <w:pPr>
        <w:pStyle w:val="3"/>
        <w:spacing w:before="156" w:beforeLines="50" w:after="156" w:afterLines="5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2" w:name="_Toc5601"/>
      <w:bookmarkStart w:id="113" w:name="_Toc21540"/>
      <w:bookmarkStart w:id="114" w:name="_Toc15863"/>
      <w:r>
        <w:rPr>
          <w:rFonts w:hint="eastAsia" w:ascii="宋体" w:hAnsi="宋体" w:eastAsia="宋体" w:cs="宋体"/>
          <w:color w:val="000000" w:themeColor="text1"/>
          <w:sz w:val="24"/>
          <w:szCs w:val="24"/>
          <w:highlight w:val="none"/>
          <w14:textFill>
            <w14:solidFill>
              <w14:schemeClr w14:val="tx1"/>
            </w14:solidFill>
          </w14:textFill>
        </w:rPr>
        <w:t>报价单</w:t>
      </w:r>
      <w:bookmarkEnd w:id="112"/>
      <w:bookmarkEnd w:id="113"/>
      <w:bookmarkEnd w:id="114"/>
    </w:p>
    <w:tbl>
      <w:tblPr>
        <w:tblStyle w:val="35"/>
        <w:tblW w:w="102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112"/>
        <w:gridCol w:w="1224"/>
        <w:gridCol w:w="1099"/>
        <w:gridCol w:w="1836"/>
      </w:tblGrid>
      <w:tr w14:paraId="6B8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846" w:type="dxa"/>
            <w:vAlign w:val="center"/>
          </w:tcPr>
          <w:p w14:paraId="67E98496">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序号</w:t>
            </w:r>
          </w:p>
        </w:tc>
        <w:tc>
          <w:tcPr>
            <w:tcW w:w="4112" w:type="dxa"/>
            <w:vAlign w:val="center"/>
          </w:tcPr>
          <w:p w14:paraId="0A9DBC79">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服务内容</w:t>
            </w:r>
          </w:p>
        </w:tc>
        <w:tc>
          <w:tcPr>
            <w:tcW w:w="1224" w:type="dxa"/>
            <w:vAlign w:val="center"/>
          </w:tcPr>
          <w:p w14:paraId="65AAA49C">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w:t>
            </w:r>
          </w:p>
        </w:tc>
        <w:tc>
          <w:tcPr>
            <w:tcW w:w="1099" w:type="dxa"/>
            <w:vAlign w:val="center"/>
          </w:tcPr>
          <w:p w14:paraId="5AD739AE">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单价</w:t>
            </w:r>
          </w:p>
        </w:tc>
        <w:tc>
          <w:tcPr>
            <w:tcW w:w="1836" w:type="dxa"/>
            <w:vAlign w:val="center"/>
          </w:tcPr>
          <w:p w14:paraId="511EE77D">
            <w:pPr>
              <w:spacing w:line="500" w:lineRule="exact"/>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小计金额（元）</w:t>
            </w:r>
          </w:p>
        </w:tc>
      </w:tr>
      <w:tr w14:paraId="0325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tcBorders>
              <w:bottom w:val="single" w:color="auto" w:sz="4" w:space="0"/>
            </w:tcBorders>
            <w:vAlign w:val="center"/>
          </w:tcPr>
          <w:p w14:paraId="626A1EB0">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1</w:t>
            </w:r>
          </w:p>
        </w:tc>
        <w:tc>
          <w:tcPr>
            <w:tcW w:w="4112" w:type="dxa"/>
            <w:vAlign w:val="center"/>
          </w:tcPr>
          <w:p w14:paraId="4A8DDB0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2706A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8C180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064BC872">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71C4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1A7D107">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2</w:t>
            </w:r>
          </w:p>
        </w:tc>
        <w:tc>
          <w:tcPr>
            <w:tcW w:w="4112" w:type="dxa"/>
            <w:vAlign w:val="center"/>
          </w:tcPr>
          <w:p w14:paraId="19BA92C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1E758B2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D448CB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233374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1A4C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29003DD5">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p>
        </w:tc>
        <w:tc>
          <w:tcPr>
            <w:tcW w:w="4112" w:type="dxa"/>
            <w:vAlign w:val="center"/>
          </w:tcPr>
          <w:p w14:paraId="52E4E799">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5B42151F">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4448513B">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2309255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5B28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40775676">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4112" w:type="dxa"/>
            <w:vAlign w:val="center"/>
          </w:tcPr>
          <w:p w14:paraId="748D5420">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224" w:type="dxa"/>
            <w:vAlign w:val="center"/>
          </w:tcPr>
          <w:p w14:paraId="7F64B38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FDB614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46E58E33">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223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53257187">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0060317">
            <w:pPr>
              <w:pStyle w:val="72"/>
              <w:spacing w:line="500" w:lineRule="exact"/>
              <w:ind w:left="-108"/>
              <w:jc w:val="cente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其他费用</w:t>
            </w:r>
          </w:p>
        </w:tc>
        <w:tc>
          <w:tcPr>
            <w:tcW w:w="1224" w:type="dxa"/>
            <w:vAlign w:val="center"/>
          </w:tcPr>
          <w:p w14:paraId="26C3F6D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55D8319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3667E48D">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0DD1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846" w:type="dxa"/>
            <w:vAlign w:val="center"/>
          </w:tcPr>
          <w:p w14:paraId="7A30F6DA">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4112" w:type="dxa"/>
            <w:vAlign w:val="center"/>
          </w:tcPr>
          <w:p w14:paraId="6C62CE3A">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ascii="宋体" w:hAnsi="宋体"/>
                <w:bCs/>
                <w:color w:val="000000" w:themeColor="text1"/>
                <w:sz w:val="24"/>
                <w:szCs w:val="24"/>
                <w:highlight w:val="none"/>
                <w14:textFill>
                  <w14:solidFill>
                    <w14:schemeClr w14:val="tx1"/>
                  </w14:solidFill>
                </w14:textFill>
              </w:rPr>
              <w:t>……</w:t>
            </w:r>
          </w:p>
        </w:tc>
        <w:tc>
          <w:tcPr>
            <w:tcW w:w="1224" w:type="dxa"/>
            <w:vAlign w:val="center"/>
          </w:tcPr>
          <w:p w14:paraId="6135933E">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099" w:type="dxa"/>
            <w:vAlign w:val="center"/>
          </w:tcPr>
          <w:p w14:paraId="1F7B542C">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c>
          <w:tcPr>
            <w:tcW w:w="1836" w:type="dxa"/>
            <w:vAlign w:val="center"/>
          </w:tcPr>
          <w:p w14:paraId="6C4B7DD5">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r w14:paraId="381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281" w:type="dxa"/>
            <w:gridSpan w:val="4"/>
            <w:vAlign w:val="center"/>
          </w:tcPr>
          <w:p w14:paraId="0E4B27DC">
            <w:pPr>
              <w:spacing w:line="500" w:lineRule="exact"/>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合计金额（元）</w:t>
            </w:r>
          </w:p>
        </w:tc>
        <w:tc>
          <w:tcPr>
            <w:tcW w:w="1836" w:type="dxa"/>
            <w:vAlign w:val="center"/>
          </w:tcPr>
          <w:p w14:paraId="37C8C051">
            <w:pPr>
              <w:spacing w:line="500" w:lineRule="exact"/>
              <w:jc w:val="center"/>
              <w:rPr>
                <w:rFonts w:hint="eastAsia" w:ascii="宋体" w:hAnsi="宋体"/>
                <w:bCs/>
                <w:color w:val="000000" w:themeColor="text1"/>
                <w:sz w:val="24"/>
                <w:szCs w:val="24"/>
                <w:highlight w:val="none"/>
                <w14:textFill>
                  <w14:solidFill>
                    <w14:schemeClr w14:val="tx1"/>
                  </w14:solidFill>
                </w14:textFill>
              </w:rPr>
            </w:pPr>
          </w:p>
        </w:tc>
      </w:tr>
    </w:tbl>
    <w:p w14:paraId="1D9C180B">
      <w:pPr>
        <w:snapToGrid w:val="0"/>
        <w:spacing w:line="360" w:lineRule="auto"/>
        <w:rPr>
          <w:rFonts w:ascii="宋体" w:hAnsi="宋体"/>
          <w:bCs/>
          <w:color w:val="000000" w:themeColor="text1"/>
          <w:sz w:val="24"/>
          <w:szCs w:val="24"/>
          <w:highlight w:val="none"/>
          <w14:textFill>
            <w14:solidFill>
              <w14:schemeClr w14:val="tx1"/>
            </w14:solidFill>
          </w14:textFill>
        </w:rPr>
      </w:pPr>
    </w:p>
    <w:p w14:paraId="0FC3EE05">
      <w:pPr>
        <w:spacing w:line="360" w:lineRule="auto"/>
        <w:ind w:right="480"/>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w:t>
      </w:r>
    </w:p>
    <w:p w14:paraId="464F517F">
      <w:pPr>
        <w:spacing w:line="560" w:lineRule="exact"/>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07480D4E">
      <w:pPr>
        <w:spacing w:line="560" w:lineRule="exact"/>
        <w:ind w:firstLine="4337" w:firstLineChars="1800"/>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086EE487">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D9A00F5">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F9C5063">
      <w:pPr>
        <w:adjustRightInd w:val="0"/>
        <w:snapToGrid w:val="0"/>
        <w:spacing w:line="360" w:lineRule="auto"/>
        <w:ind w:firstLine="482" w:firstLineChars="200"/>
        <w:rPr>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表中所列服务为对应本项目需求的全部服务内容。如有漏项或缺项，投标供应商承担全部责任。</w:t>
      </w:r>
    </w:p>
    <w:p w14:paraId="3F83A3D9">
      <w:pPr>
        <w:rPr>
          <w:rFonts w:hint="eastAsia" w:ascii="宋体" w:hAnsi="宋体" w:eastAsia="宋体" w:cs="宋体"/>
          <w:color w:val="000000" w:themeColor="text1"/>
          <w:sz w:val="24"/>
          <w:szCs w:val="24"/>
          <w:highlight w:val="none"/>
          <w14:textFill>
            <w14:solidFill>
              <w14:schemeClr w14:val="tx1"/>
            </w14:solidFill>
          </w14:textFill>
        </w:rPr>
      </w:pPr>
      <w:bookmarkStart w:id="115" w:name="_Toc9164"/>
    </w:p>
    <w:p w14:paraId="7FED594E">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附件二</w:t>
      </w:r>
      <w:bookmarkEnd w:id="115"/>
    </w:p>
    <w:p w14:paraId="36419963">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16" w:name="_Toc20406"/>
      <w:bookmarkStart w:id="117" w:name="_Toc4686"/>
      <w:bookmarkStart w:id="118" w:name="_Toc17280"/>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16"/>
      <w:bookmarkEnd w:id="117"/>
      <w:bookmarkEnd w:id="118"/>
    </w:p>
    <w:p w14:paraId="05B78ACC">
      <w:pPr>
        <w:spacing w:line="360" w:lineRule="auto"/>
        <w:jc w:val="center"/>
        <w:rPr>
          <w:color w:val="000000" w:themeColor="text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格式自拟，</w:t>
      </w:r>
      <w:r>
        <w:rPr>
          <w:rFonts w:hint="eastAsia"/>
          <w:color w:val="000000" w:themeColor="text1"/>
          <w:sz w:val="24"/>
          <w:szCs w:val="24"/>
          <w:highlight w:val="none"/>
          <w:lang w:val="en-US" w:eastAsia="zh-CN"/>
          <w14:textFill>
            <w14:solidFill>
              <w14:schemeClr w14:val="tx1"/>
            </w14:solidFill>
          </w14:textFill>
        </w:rPr>
        <w:t>并</w:t>
      </w:r>
      <w:r>
        <w:rPr>
          <w:rFonts w:hint="eastAsia"/>
          <w:color w:val="000000" w:themeColor="text1"/>
          <w:sz w:val="24"/>
          <w:szCs w:val="24"/>
          <w:highlight w:val="none"/>
          <w:lang w:eastAsia="zh-CN"/>
          <w14:textFill>
            <w14:solidFill>
              <w14:schemeClr w14:val="tx1"/>
            </w14:solidFill>
          </w14:textFill>
        </w:rPr>
        <w:t>自行</w:t>
      </w:r>
      <w:r>
        <w:rPr>
          <w:rFonts w:hint="eastAsia"/>
          <w:color w:val="000000" w:themeColor="text1"/>
          <w:sz w:val="24"/>
          <w:szCs w:val="24"/>
          <w:highlight w:val="none"/>
          <w:lang w:val="en-US" w:eastAsia="zh-CN"/>
          <w14:textFill>
            <w14:solidFill>
              <w14:schemeClr w14:val="tx1"/>
            </w14:solidFill>
          </w14:textFill>
        </w:rPr>
        <w:t>放入</w:t>
      </w:r>
      <w:r>
        <w:rPr>
          <w:rFonts w:hint="eastAsia"/>
          <w:color w:val="000000" w:themeColor="text1"/>
          <w:sz w:val="24"/>
          <w:szCs w:val="24"/>
          <w:highlight w:val="none"/>
          <w:lang w:eastAsia="zh-CN"/>
          <w14:textFill>
            <w14:solidFill>
              <w14:schemeClr w14:val="tx1"/>
            </w14:solidFill>
          </w14:textFill>
        </w:rPr>
        <w:t>营业执照等证明材料</w:t>
      </w:r>
      <w:r>
        <w:rPr>
          <w:rFonts w:hint="eastAsia"/>
          <w:color w:val="000000" w:themeColor="text1"/>
          <w:sz w:val="24"/>
          <w:szCs w:val="24"/>
          <w:highlight w:val="none"/>
          <w14:textFill>
            <w14:solidFill>
              <w14:schemeClr w14:val="tx1"/>
            </w14:solidFill>
          </w14:textFill>
        </w:rPr>
        <w:t>）</w:t>
      </w:r>
    </w:p>
    <w:p w14:paraId="391BD467">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bookmarkStart w:id="119" w:name="_Toc18794"/>
      <w:r>
        <w:rPr>
          <w:rFonts w:hint="eastAsia" w:ascii="宋体" w:hAnsi="宋体" w:eastAsia="宋体" w:cs="宋体"/>
          <w:color w:val="000000" w:themeColor="text1"/>
          <w:sz w:val="24"/>
          <w:szCs w:val="24"/>
          <w:highlight w:val="none"/>
          <w14:textFill>
            <w14:solidFill>
              <w14:schemeClr w14:val="tx1"/>
            </w14:solidFill>
          </w14:textFill>
        </w:rPr>
        <w:t>附件三</w:t>
      </w:r>
      <w:bookmarkEnd w:id="119"/>
    </w:p>
    <w:p w14:paraId="7A67EBB0">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0" w:name="_Toc10696"/>
      <w:bookmarkStart w:id="121" w:name="_Toc2697"/>
      <w:bookmarkStart w:id="122" w:name="_Toc25318"/>
      <w:r>
        <w:rPr>
          <w:rFonts w:hint="eastAsia" w:ascii="宋体" w:hAnsi="宋体" w:eastAsia="宋体" w:cs="宋体"/>
          <w:color w:val="000000" w:themeColor="text1"/>
          <w:sz w:val="24"/>
          <w:szCs w:val="24"/>
          <w:highlight w:val="none"/>
          <w14:textFill>
            <w14:solidFill>
              <w14:schemeClr w14:val="tx1"/>
            </w14:solidFill>
          </w14:textFill>
        </w:rPr>
        <w:t>谈判授权书</w:t>
      </w:r>
      <w:bookmarkEnd w:id="120"/>
      <w:bookmarkEnd w:id="121"/>
      <w:bookmarkEnd w:id="122"/>
    </w:p>
    <w:p w14:paraId="5304ED96">
      <w:pPr>
        <w:rPr>
          <w:rFonts w:ascii="宋体" w:hAnsi="宋体"/>
          <w:color w:val="000000" w:themeColor="text1"/>
          <w:sz w:val="24"/>
          <w:szCs w:val="24"/>
          <w:highlight w:val="none"/>
          <w14:textFill>
            <w14:solidFill>
              <w14:schemeClr w14:val="tx1"/>
            </w14:solidFill>
          </w14:textFill>
        </w:rPr>
      </w:pPr>
    </w:p>
    <w:p w14:paraId="5A28153A">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6387CE9C">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700FACFA">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p>
    <w:p w14:paraId="753B49B0">
      <w:pPr>
        <w:spacing w:line="360" w:lineRule="auto"/>
        <w:jc w:val="left"/>
        <w:rPr>
          <w:rFonts w:hint="eastAsia" w:ascii="宋体" w:hAnsi="宋体"/>
          <w:b/>
          <w:bCs/>
          <w:color w:val="000000" w:themeColor="text1"/>
          <w:sz w:val="24"/>
          <w:szCs w:val="24"/>
          <w:highlight w:val="none"/>
          <w:u w:val="non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授权代表（或法定代表人）身份证明扫描件或影印件：</w:t>
      </w:r>
    </w:p>
    <w:p w14:paraId="45B9E948">
      <w:pPr>
        <w:spacing w:line="360" w:lineRule="auto"/>
        <w:ind w:firstLine="1200" w:firstLineChars="500"/>
        <w:jc w:val="left"/>
        <w:rPr>
          <w:rFonts w:hint="eastAsia" w:ascii="宋体" w:hAnsi="宋体"/>
          <w:color w:val="000000" w:themeColor="text1"/>
          <w:sz w:val="24"/>
          <w:szCs w:val="24"/>
          <w:highlight w:val="none"/>
          <w:u w:val="single"/>
          <w14:textFill>
            <w14:solidFill>
              <w14:schemeClr w14:val="tx1"/>
            </w14:solidFill>
          </w14:textFill>
        </w:rPr>
      </w:pPr>
    </w:p>
    <w:p w14:paraId="37F75E26">
      <w:pPr>
        <w:spacing w:line="360" w:lineRule="auto"/>
        <w:jc w:val="left"/>
        <w:rPr>
          <w:rFonts w:hint="eastAsia" w:ascii="宋体" w:hAnsi="宋体"/>
          <w:color w:val="000000" w:themeColor="text1"/>
          <w:sz w:val="24"/>
          <w:szCs w:val="24"/>
          <w:highlight w:val="none"/>
          <w:u w:val="single"/>
          <w14:textFill>
            <w14:solidFill>
              <w14:schemeClr w14:val="tx1"/>
            </w14:solidFill>
          </w14:textFill>
        </w:rPr>
      </w:pPr>
    </w:p>
    <w:p w14:paraId="7DB8B4B4">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u w:val="none"/>
          <w14:textFill>
            <w14:solidFill>
              <w14:schemeClr w14:val="tx1"/>
            </w14:solidFill>
          </w14:textFill>
        </w:rPr>
        <w:t>授权代表（或法定代表人）联系方式：</w:t>
      </w:r>
      <w:r>
        <w:rPr>
          <w:rFonts w:hint="eastAsia" w:ascii="宋体" w:hAnsi="宋体"/>
          <w:b/>
          <w:bCs/>
          <w:color w:val="000000" w:themeColor="text1"/>
          <w:sz w:val="24"/>
          <w:szCs w:val="24"/>
          <w:highlight w:val="none"/>
          <w:u w:val="single"/>
          <w14:textFill>
            <w14:solidFill>
              <w14:schemeClr w14:val="tx1"/>
            </w14:solidFill>
          </w14:textFill>
        </w:rPr>
        <w:t xml:space="preserve">（请填写手机号码） </w:t>
      </w:r>
      <w:r>
        <w:rPr>
          <w:rFonts w:hint="eastAsia" w:ascii="宋体" w:hAnsi="宋体"/>
          <w:color w:val="000000" w:themeColor="text1"/>
          <w:sz w:val="24"/>
          <w:szCs w:val="24"/>
          <w:highlight w:val="none"/>
          <w:u w:val="single"/>
          <w14:textFill>
            <w14:solidFill>
              <w14:schemeClr w14:val="tx1"/>
            </w14:solidFill>
          </w14:textFill>
        </w:rPr>
        <w:t xml:space="preserve">                      </w:t>
      </w:r>
    </w:p>
    <w:p w14:paraId="7EA8252C">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6187A3E">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2E1AD601">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181AAC82">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BA29D2A">
      <w:pPr>
        <w:spacing w:line="520" w:lineRule="exact"/>
        <w:jc w:val="left"/>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p>
    <w:p w14:paraId="72B084A5">
      <w:pPr>
        <w:spacing w:line="520" w:lineRule="exact"/>
        <w:jc w:val="left"/>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1、本项目只允许有唯一的供应商授权代表（提供身份证明扫描件或影印件及联系方式）；</w:t>
      </w:r>
    </w:p>
    <w:p w14:paraId="18896186">
      <w:pPr>
        <w:spacing w:line="520" w:lineRule="exact"/>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2、法定代表人参加的无需提供授权书，仅提供身份证明扫描件或影印件及联系方式即可。</w:t>
      </w:r>
      <w:r>
        <w:rPr>
          <w:rFonts w:hint="eastAsia" w:ascii="宋体" w:hAnsi="宋体"/>
          <w:color w:val="000000" w:themeColor="text1"/>
          <w:sz w:val="24"/>
          <w:szCs w:val="24"/>
          <w:highlight w:val="none"/>
          <w14:textFill>
            <w14:solidFill>
              <w14:schemeClr w14:val="tx1"/>
            </w14:solidFill>
          </w14:textFill>
        </w:rPr>
        <w:t xml:space="preserve">                              </w:t>
      </w:r>
    </w:p>
    <w:p w14:paraId="4839780E">
      <w:pPr>
        <w:rPr>
          <w:rFonts w:hint="eastAsia" w:ascii="宋体" w:hAnsi="宋体" w:eastAsia="宋体" w:cs="宋体"/>
          <w:color w:val="000000" w:themeColor="text1"/>
          <w:sz w:val="24"/>
          <w:szCs w:val="24"/>
          <w:highlight w:val="none"/>
          <w14:textFill>
            <w14:solidFill>
              <w14:schemeClr w14:val="tx1"/>
            </w14:solidFill>
          </w14:textFill>
        </w:rPr>
      </w:pPr>
      <w:bookmarkStart w:id="123" w:name="_Toc17885"/>
      <w:r>
        <w:rPr>
          <w:rFonts w:hint="eastAsia" w:ascii="宋体" w:hAnsi="宋体" w:eastAsia="宋体" w:cs="宋体"/>
          <w:color w:val="000000" w:themeColor="text1"/>
          <w:sz w:val="24"/>
          <w:szCs w:val="24"/>
          <w:highlight w:val="none"/>
          <w14:textFill>
            <w14:solidFill>
              <w14:schemeClr w14:val="tx1"/>
            </w14:solidFill>
          </w14:textFill>
        </w:rPr>
        <w:br w:type="page"/>
      </w:r>
    </w:p>
    <w:p w14:paraId="575DE6B0">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附件四</w:t>
      </w:r>
    </w:p>
    <w:p w14:paraId="65E83FD7">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供应商资格声明书</w:t>
      </w:r>
    </w:p>
    <w:p w14:paraId="7E352D92">
      <w:pPr>
        <w:pStyle w:val="18"/>
        <w:spacing w:line="360" w:lineRule="auto"/>
        <w:rPr>
          <w:rFonts w:hint="eastAsia" w:ascii="宋体" w:hAnsi="宋体"/>
          <w:color w:val="000000" w:themeColor="text1"/>
          <w:sz w:val="24"/>
          <w:highlight w:val="none"/>
          <w14:textFill>
            <w14:solidFill>
              <w14:schemeClr w14:val="tx1"/>
            </w14:solidFill>
          </w14:textFill>
        </w:rPr>
      </w:pPr>
    </w:p>
    <w:p w14:paraId="7E9AB109">
      <w:pPr>
        <w:widowControl/>
        <w:spacing w:line="360" w:lineRule="auto"/>
        <w:jc w:val="left"/>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lang w:eastAsia="zh-CN" w:bidi="ar"/>
          <w14:textFill>
            <w14:solidFill>
              <w14:schemeClr w14:val="tx1"/>
            </w14:solidFill>
          </w14:textFill>
        </w:rPr>
        <w:t>致：</w:t>
      </w:r>
      <w:r>
        <w:rPr>
          <w:rFonts w:hint="eastAsia" w:asciiTheme="minorEastAsia" w:hAnsiTheme="minorEastAsia" w:eastAsiaTheme="minorEastAsia" w:cstheme="minorEastAsia"/>
          <w:b/>
          <w:bCs/>
          <w:color w:val="000000" w:themeColor="text1"/>
          <w:kern w:val="0"/>
          <w:sz w:val="24"/>
          <w:szCs w:val="24"/>
          <w:highlight w:val="none"/>
          <w:u w:val="single"/>
          <w:lang w:eastAsia="zh-CN" w:bidi="ar"/>
          <w14:textFill>
            <w14:solidFill>
              <w14:schemeClr w14:val="tx1"/>
            </w14:solidFill>
          </w14:textFill>
        </w:rPr>
        <w:t>采购人</w:t>
      </w:r>
      <w:r>
        <w:rPr>
          <w:rFonts w:hint="eastAsia" w:asciiTheme="minorEastAsia" w:hAnsiTheme="minorEastAsia" w:eastAsiaTheme="minorEastAsia" w:cstheme="minorEastAsia"/>
          <w:b/>
          <w:bCs/>
          <w:color w:val="000000" w:themeColor="text1"/>
          <w:kern w:val="0"/>
          <w:sz w:val="24"/>
          <w:szCs w:val="24"/>
          <w:highlight w:val="none"/>
          <w:u w:val="single"/>
          <w:lang w:val="en-US" w:eastAsia="zh-CN" w:bidi="ar"/>
          <w14:textFill>
            <w14:solidFill>
              <w14:schemeClr w14:val="tx1"/>
            </w14:solidFill>
          </w14:textFill>
        </w:rPr>
        <w:t>名称</w:t>
      </w:r>
    </w:p>
    <w:p w14:paraId="192710C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w:t>
      </w:r>
      <w:r>
        <w:rPr>
          <w:rFonts w:hint="eastAsia" w:asciiTheme="minorEastAsia" w:hAnsiTheme="minorEastAsia" w:eastAsiaTheme="minorEastAsia" w:cstheme="minorEastAsia"/>
          <w:color w:val="000000" w:themeColor="text1"/>
          <w:kern w:val="0"/>
          <w:sz w:val="24"/>
          <w:szCs w:val="24"/>
          <w:highlight w:val="none"/>
          <w:lang w:eastAsia="zh-CN" w:bidi="ar"/>
          <w14:textFill>
            <w14:solidFill>
              <w14:schemeClr w14:val="tx1"/>
            </w14:solidFill>
          </w14:textFill>
        </w:rPr>
        <w:t>谈判</w:t>
      </w: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（六）与我单位存在单位负责人为同一人或者存在直接控股、管理关系的其他法人单位信息如下（如有，不论其是否参加同一合同项下的采购活动均须填写）：</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1D302D8B">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4903AB0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E517A7D">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15DA5B24">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6E6A09F7">
      <w:pPr>
        <w:tabs>
          <w:tab w:val="left" w:pos="630"/>
        </w:tabs>
        <w:spacing w:line="360" w:lineRule="auto"/>
        <w:ind w:firstLine="4819"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40ED56C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p>
    <w:p w14:paraId="1A4468EF">
      <w:pPr>
        <w:rPr>
          <w:rFonts w:ascii="宋体" w:hAnsi="宋体" w:eastAsia="宋体"/>
          <w:color w:val="000000" w:themeColor="text1"/>
          <w:sz w:val="24"/>
          <w:highlight w:val="none"/>
          <w:u w:val="single"/>
          <w14:textFill>
            <w14:solidFill>
              <w14:schemeClr w14:val="tx1"/>
            </w14:solidFill>
          </w14:textFill>
        </w:rPr>
      </w:pPr>
    </w:p>
    <w:p w14:paraId="4FE66894">
      <w:pPr>
        <w:widowControl/>
        <w:jc w:val="left"/>
        <w:rPr>
          <w:rFonts w:ascii="宋体" w:hAnsi="宋体" w:eastAsia="宋体"/>
          <w:color w:val="000000" w:themeColor="text1"/>
          <w:sz w:val="24"/>
          <w:highlight w:val="none"/>
          <w:u w:val="single"/>
          <w14:textFill>
            <w14:solidFill>
              <w14:schemeClr w14:val="tx1"/>
            </w14:solidFill>
          </w14:textFill>
        </w:rPr>
      </w:pPr>
    </w:p>
    <w:p w14:paraId="1F282C76">
      <w:pPr>
        <w:rPr>
          <w:rFonts w:hint="eastAsia" w:asciiTheme="minorEastAsia" w:hAnsiTheme="minorEastAsia" w:eastAsiaTheme="minorEastAsia"/>
          <w:b/>
          <w:color w:val="000000" w:themeColor="text1"/>
          <w:sz w:val="24"/>
          <w:highlight w:val="none"/>
          <w14:textFill>
            <w14:solidFill>
              <w14:schemeClr w14:val="tx1"/>
            </w14:solidFill>
          </w14:textFill>
        </w:rPr>
      </w:pPr>
    </w:p>
    <w:p w14:paraId="236A745C">
      <w:pPr>
        <w:rPr>
          <w:rFonts w:hint="eastAsia" w:asciiTheme="minorEastAsia" w:hAnsiTheme="minorEastAsia" w:eastAsiaTheme="minorEastAsia"/>
          <w:b/>
          <w:color w:val="000000" w:themeColor="text1"/>
          <w:sz w:val="24"/>
          <w:highlight w:val="none"/>
          <w14:textFill>
            <w14:solidFill>
              <w14:schemeClr w14:val="tx1"/>
            </w14:solidFill>
          </w14:textFill>
        </w:rPr>
      </w:pPr>
    </w:p>
    <w:p w14:paraId="16DFDB2F">
      <w:pPr>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5A09EF83">
      <w:pPr>
        <w:spacing w:line="360" w:lineRule="auto"/>
        <w:jc w:val="both"/>
        <w:outlineLvl w:val="1"/>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附件五</w:t>
      </w:r>
    </w:p>
    <w:p w14:paraId="04CB3FF5">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p>
    <w:p w14:paraId="1DC26D1F">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6FF85D71">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w:t>
      </w:r>
      <w:r>
        <w:rPr>
          <w:rFonts w:hint="eastAsia" w:asciiTheme="minorEastAsia" w:hAnsiTheme="minorEastAsia" w:eastAsiaTheme="minorEastAsia"/>
          <w:b/>
          <w:bCs/>
          <w:color w:val="000000" w:themeColor="text1"/>
          <w:sz w:val="24"/>
          <w:highlight w:val="none"/>
          <w:u w:val="single"/>
          <w14:textFill>
            <w14:solidFill>
              <w14:schemeClr w14:val="tx1"/>
            </w14:solidFill>
          </w14:textFill>
        </w:rPr>
        <w:t>采购人</w:t>
      </w:r>
      <w:r>
        <w:rPr>
          <w:rFonts w:hint="eastAsia" w:asciiTheme="minorEastAsia" w:hAnsiTheme="minorEastAsia" w:eastAsiaTheme="minorEastAsia"/>
          <w:b/>
          <w:bCs/>
          <w:color w:val="000000" w:themeColor="text1"/>
          <w:sz w:val="24"/>
          <w:highlight w:val="none"/>
          <w:u w:val="single"/>
          <w:lang w:val="en-US" w:eastAsia="zh-CN"/>
          <w14:textFill>
            <w14:solidFill>
              <w14:schemeClr w14:val="tx1"/>
            </w14:solidFill>
          </w14:textFill>
        </w:rPr>
        <w:t>名称</w:t>
      </w:r>
    </w:p>
    <w:p w14:paraId="2CBBB108">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（2）未按照采购文件确定的事项签订采购合同；</w:t>
      </w:r>
    </w:p>
    <w:p w14:paraId="032B4E8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（3）将采购合同转包；</w:t>
      </w:r>
    </w:p>
    <w:p w14:paraId="0BC3A34D">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462AE647">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（5）擅自变更、中止或者终止采购合同。</w:t>
      </w:r>
    </w:p>
    <w:p w14:paraId="65F58ACF">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45856CC5">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CE70BF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供应商盖公章：</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50E3955B">
      <w:pPr>
        <w:ind w:firstLine="4819" w:firstLineChars="2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b/>
          <w:bCs w:val="0"/>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br w:type="page"/>
      </w:r>
    </w:p>
    <w:p w14:paraId="09873F79">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w:t>
      </w:r>
      <w:bookmarkEnd w:id="123"/>
      <w:r>
        <w:rPr>
          <w:rFonts w:hint="eastAsia" w:ascii="宋体" w:hAnsi="宋体" w:eastAsia="宋体" w:cs="宋体"/>
          <w:color w:val="000000" w:themeColor="text1"/>
          <w:sz w:val="24"/>
          <w:szCs w:val="24"/>
          <w:highlight w:val="none"/>
          <w:lang w:val="en-US" w:eastAsia="zh-CN"/>
          <w14:textFill>
            <w14:solidFill>
              <w14:schemeClr w14:val="tx1"/>
            </w14:solidFill>
          </w14:textFill>
        </w:rPr>
        <w:t>六</w:t>
      </w:r>
    </w:p>
    <w:p w14:paraId="7F771B1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24" w:name="_Toc1318"/>
      <w:bookmarkStart w:id="125" w:name="_Toc9758"/>
      <w:bookmarkStart w:id="126" w:name="_Toc417045478"/>
      <w:r>
        <w:rPr>
          <w:rFonts w:hint="eastAsia" w:ascii="宋体" w:hAnsi="宋体" w:eastAsia="宋体" w:cs="宋体"/>
          <w:color w:val="000000" w:themeColor="text1"/>
          <w:sz w:val="24"/>
          <w:szCs w:val="24"/>
          <w:highlight w:val="none"/>
          <w14:textFill>
            <w14:solidFill>
              <w14:schemeClr w14:val="tx1"/>
            </w14:solidFill>
          </w14:textFill>
        </w:rPr>
        <w:t>谈判响应函</w:t>
      </w:r>
      <w:bookmarkEnd w:id="124"/>
      <w:bookmarkEnd w:id="125"/>
    </w:p>
    <w:p w14:paraId="6FDD22D5">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XXX（</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b/>
          <w:bCs/>
          <w:color w:val="000000" w:themeColor="text1"/>
          <w:sz w:val="24"/>
          <w:szCs w:val="24"/>
          <w:highlight w:val="none"/>
          <w:u w:val="single"/>
          <w14:textFill>
            <w14:solidFill>
              <w14:schemeClr w14:val="tx1"/>
            </w14:solidFill>
          </w14:textFill>
        </w:rPr>
        <w:t>代理机构名称）</w:t>
      </w:r>
    </w:p>
    <w:p w14:paraId="7CB6C4AE">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号谈判公告的内容，我方决定参加贵方组织的“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”项目的竞争性谈判采购。我方授权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（供应商的名称）全权处理本项目谈判的有关事宜。</w:t>
      </w:r>
    </w:p>
    <w:p w14:paraId="6FE5A771">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2、我方愿意按照采购书规定的各项要求，向采购人提供所需的货物服务。</w:t>
      </w:r>
    </w:p>
    <w:p w14:paraId="2D22E26A">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4、如我公司成交，我公司承诺愿意按谈判文件规定缴纳履约保证金。</w:t>
      </w:r>
    </w:p>
    <w:p w14:paraId="08223197">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2C9D6CC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07F318BE">
      <w:pPr>
        <w:tabs>
          <w:tab w:val="left" w:pos="0"/>
          <w:tab w:val="left" w:pos="840"/>
        </w:tabs>
        <w:rPr>
          <w:rFonts w:ascii="宋体" w:hAnsi="宋体"/>
          <w:color w:val="000000" w:themeColor="text1"/>
          <w:sz w:val="24"/>
          <w:szCs w:val="24"/>
          <w:highlight w:val="none"/>
          <w14:textFill>
            <w14:solidFill>
              <w14:schemeClr w14:val="tx1"/>
            </w14:solidFill>
          </w14:textFill>
        </w:rPr>
      </w:pPr>
    </w:p>
    <w:p w14:paraId="43A8E6AB">
      <w:pPr>
        <w:tabs>
          <w:tab w:val="left" w:pos="0"/>
          <w:tab w:val="left" w:pos="840"/>
        </w:tabs>
        <w:rPr>
          <w:rFonts w:ascii="宋体" w:hAnsi="宋体"/>
          <w:color w:val="000000" w:themeColor="text1"/>
          <w:sz w:val="24"/>
          <w:szCs w:val="24"/>
          <w:highlight w:val="none"/>
          <w14:textFill>
            <w14:solidFill>
              <w14:schemeClr w14:val="tx1"/>
            </w14:solidFill>
          </w14:textFill>
        </w:rPr>
      </w:pPr>
    </w:p>
    <w:p w14:paraId="17936B52">
      <w:pPr>
        <w:tabs>
          <w:tab w:val="left" w:pos="0"/>
          <w:tab w:val="left" w:pos="840"/>
        </w:tabs>
        <w:rPr>
          <w:rFonts w:ascii="宋体" w:hAnsi="宋体"/>
          <w:color w:val="000000" w:themeColor="text1"/>
          <w:sz w:val="24"/>
          <w:szCs w:val="24"/>
          <w:highlight w:val="none"/>
          <w14:textFill>
            <w14:solidFill>
              <w14:schemeClr w14:val="tx1"/>
            </w14:solidFill>
          </w14:textFill>
        </w:rPr>
      </w:pPr>
    </w:p>
    <w:p w14:paraId="5C44E66C">
      <w:pPr>
        <w:tabs>
          <w:tab w:val="left" w:pos="0"/>
          <w:tab w:val="left" w:pos="840"/>
        </w:tabs>
        <w:rPr>
          <w:rFonts w:ascii="宋体" w:hAnsi="宋体"/>
          <w:color w:val="000000" w:themeColor="text1"/>
          <w:sz w:val="24"/>
          <w:szCs w:val="24"/>
          <w:highlight w:val="none"/>
          <w14:textFill>
            <w14:solidFill>
              <w14:schemeClr w14:val="tx1"/>
            </w14:solidFill>
          </w14:textFill>
        </w:rPr>
      </w:pPr>
    </w:p>
    <w:p w14:paraId="249E3354">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71207D7">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77DA0BF">
      <w:pPr>
        <w:pStyle w:val="4"/>
        <w:rPr>
          <w:color w:val="000000" w:themeColor="text1"/>
          <w:sz w:val="24"/>
          <w:szCs w:val="24"/>
          <w:highlight w:val="none"/>
          <w:lang w:val="en-US"/>
          <w14:textFill>
            <w14:solidFill>
              <w14:schemeClr w14:val="tx1"/>
            </w14:solidFill>
          </w14:textFill>
        </w:rPr>
      </w:pPr>
    </w:p>
    <w:p w14:paraId="3721F74B">
      <w:pPr>
        <w:rPr>
          <w:color w:val="000000" w:themeColor="text1"/>
          <w:highlight w:val="none"/>
          <w14:textFill>
            <w14:solidFill>
              <w14:schemeClr w14:val="tx1"/>
            </w14:solidFill>
          </w14:textFill>
        </w:rPr>
      </w:pPr>
    </w:p>
    <w:p w14:paraId="0C31C326">
      <w:pPr>
        <w:rPr>
          <w:color w:val="000000" w:themeColor="text1"/>
          <w:highlight w:val="none"/>
          <w14:textFill>
            <w14:solidFill>
              <w14:schemeClr w14:val="tx1"/>
            </w14:solidFill>
          </w14:textFill>
        </w:rPr>
      </w:pPr>
    </w:p>
    <w:p w14:paraId="4BE0F509">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6FCDEF8F">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27" w:name="_Toc27501"/>
      <w:r>
        <w:rPr>
          <w:rFonts w:hint="eastAsia" w:ascii="宋体" w:hAnsi="宋体" w:eastAsia="宋体" w:cs="宋体"/>
          <w:color w:val="000000" w:themeColor="text1"/>
          <w:sz w:val="24"/>
          <w:szCs w:val="24"/>
          <w:highlight w:val="none"/>
          <w14:textFill>
            <w14:solidFill>
              <w14:schemeClr w14:val="tx1"/>
            </w14:solidFill>
          </w14:textFill>
        </w:rPr>
        <w:t>附件</w:t>
      </w:r>
      <w:bookmarkEnd w:id="126"/>
      <w:bookmarkEnd w:id="127"/>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p>
    <w:p w14:paraId="02E23572">
      <w:pPr>
        <w:pStyle w:val="33"/>
        <w:ind w:firstLine="2891" w:firstLineChars="1200"/>
        <w:rPr>
          <w:rFonts w:ascii="宋体" w:hAnsi="宋体" w:cs="宋体"/>
          <w:b/>
          <w:color w:val="000000" w:themeColor="text1"/>
          <w:szCs w:val="24"/>
          <w:highlight w:val="none"/>
          <w:lang w:val="zh-CN"/>
          <w14:textFill>
            <w14:solidFill>
              <w14:schemeClr w14:val="tx1"/>
            </w14:solidFill>
          </w14:textFill>
        </w:rPr>
      </w:pPr>
      <w:bookmarkStart w:id="128"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5217E5F3">
      <w:pPr>
        <w:pStyle w:val="33"/>
        <w:ind w:firstLine="480" w:firstLineChars="200"/>
        <w:rPr>
          <w:rFonts w:ascii="宋体" w:hAnsi="宋体"/>
          <w:color w:val="000000" w:themeColor="text1"/>
          <w:szCs w:val="24"/>
          <w:highlight w:val="none"/>
          <w14:textFill>
            <w14:solidFill>
              <w14:schemeClr w14:val="tx1"/>
            </w14:solidFill>
          </w14:textFill>
        </w:rPr>
      </w:pPr>
      <w:bookmarkStart w:id="129"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14C75384">
      <w:pPr>
        <w:spacing w:line="360" w:lineRule="auto"/>
        <w:ind w:firstLine="435"/>
        <w:rPr>
          <w:rFonts w:ascii="宋体" w:hAnsi="宋体"/>
          <w:color w:val="000000" w:themeColor="text1"/>
          <w:sz w:val="24"/>
          <w:szCs w:val="24"/>
          <w:highlight w:val="none"/>
          <w14:textFill>
            <w14:solidFill>
              <w14:schemeClr w14:val="tx1"/>
            </w14:solidFill>
          </w14:textFill>
        </w:rPr>
      </w:pPr>
    </w:p>
    <w:p w14:paraId="2892B95E">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61506C5B">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bookmarkEnd w:id="129"/>
    <w:p w14:paraId="1C83E2F8">
      <w:pPr>
        <w:pStyle w:val="33"/>
        <w:ind w:firstLine="210"/>
        <w:rPr>
          <w:color w:val="000000" w:themeColor="text1"/>
          <w:highlight w:val="none"/>
          <w14:textFill>
            <w14:solidFill>
              <w14:schemeClr w14:val="tx1"/>
            </w14:solidFill>
          </w14:textFill>
        </w:rPr>
      </w:pPr>
    </w:p>
    <w:p w14:paraId="0C55B6A5">
      <w:pPr>
        <w:pStyle w:val="33"/>
        <w:ind w:firstLine="210"/>
        <w:rPr>
          <w:color w:val="000000" w:themeColor="text1"/>
          <w:highlight w:val="none"/>
          <w14:textFill>
            <w14:solidFill>
              <w14:schemeClr w14:val="tx1"/>
            </w14:solidFill>
          </w14:textFill>
        </w:rPr>
      </w:pPr>
    </w:p>
    <w:p w14:paraId="7FD05DB5">
      <w:pPr>
        <w:tabs>
          <w:tab w:val="left" w:pos="630"/>
        </w:tabs>
        <w:spacing w:after="156"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10674359">
      <w:pPr>
        <w:spacing w:line="360" w:lineRule="auto"/>
        <w:ind w:firstLine="435"/>
        <w:rPr>
          <w:rFonts w:ascii="宋体" w:hAnsi="宋体"/>
          <w:color w:val="000000" w:themeColor="text1"/>
          <w:sz w:val="24"/>
          <w:szCs w:val="24"/>
          <w:highlight w:val="none"/>
          <w14:textFill>
            <w14:solidFill>
              <w14:schemeClr w14:val="tx1"/>
            </w14:solidFill>
          </w14:textFill>
        </w:rPr>
      </w:pPr>
      <w:bookmarkStart w:id="130"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667CC3B3">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6769965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3A67EB9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6952880">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153FF89E">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bookmarkEnd w:id="130"/>
    <w:p w14:paraId="72E6A9E1">
      <w:pPr>
        <w:spacing w:line="360" w:lineRule="auto"/>
        <w:ind w:firstLine="5450" w:firstLineChars="2262"/>
        <w:rPr>
          <w:rFonts w:ascii="宋体" w:hAnsi="宋体"/>
          <w:b/>
          <w:bCs w:val="0"/>
          <w:color w:val="000000" w:themeColor="text1"/>
          <w:sz w:val="24"/>
          <w:szCs w:val="24"/>
          <w:highlight w:val="none"/>
          <w:u w:val="singl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供应商</w:t>
      </w:r>
      <w:r>
        <w:rPr>
          <w:rFonts w:hint="eastAsia" w:ascii="宋体" w:hAnsi="宋体"/>
          <w:b/>
          <w:bCs w:val="0"/>
          <w:color w:val="000000" w:themeColor="text1"/>
          <w:sz w:val="24"/>
          <w:szCs w:val="24"/>
          <w:highlight w:val="none"/>
          <w:lang w:val="en-US" w:eastAsia="zh-CN"/>
          <w14:textFill>
            <w14:solidFill>
              <w14:schemeClr w14:val="tx1"/>
            </w14:solidFill>
          </w14:textFill>
        </w:rPr>
        <w:t>盖公</w:t>
      </w:r>
      <w:r>
        <w:rPr>
          <w:rFonts w:hint="eastAsia" w:ascii="宋体" w:hAnsi="宋体"/>
          <w:b/>
          <w:bCs w:val="0"/>
          <w:color w:val="000000" w:themeColor="text1"/>
          <w:sz w:val="24"/>
          <w:szCs w:val="24"/>
          <w:highlight w:val="none"/>
          <w14:textFill>
            <w14:solidFill>
              <w14:schemeClr w14:val="tx1"/>
            </w14:solidFill>
          </w14:textFill>
        </w:rPr>
        <w:t>章：</w:t>
      </w:r>
    </w:p>
    <w:p w14:paraId="4019B88A">
      <w:pPr>
        <w:tabs>
          <w:tab w:val="left" w:pos="630"/>
        </w:tabs>
        <w:spacing w:line="360" w:lineRule="auto"/>
        <w:ind w:firstLine="5450" w:firstLineChars="2262"/>
        <w:rPr>
          <w:rFonts w:ascii="宋体" w:hAnsi="宋体"/>
          <w:b/>
          <w:bCs w:val="0"/>
          <w:color w:val="000000" w:themeColor="text1"/>
          <w:sz w:val="24"/>
          <w:szCs w:val="24"/>
          <w:highlight w:val="none"/>
          <w:lang w:val="zh-CN"/>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66EF66BF">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3156F1D4">
      <w:pPr>
        <w:pStyle w:val="3"/>
        <w:spacing w:before="0" w:after="0" w:line="5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131" w:name="_Toc30242"/>
      <w:r>
        <w:rPr>
          <w:rFonts w:hint="eastAsia" w:ascii="宋体" w:hAnsi="宋体" w:eastAsia="宋体" w:cs="宋体"/>
          <w:color w:val="000000" w:themeColor="text1"/>
          <w:sz w:val="24"/>
          <w:szCs w:val="24"/>
          <w:highlight w:val="none"/>
          <w14:textFill>
            <w14:solidFill>
              <w14:schemeClr w14:val="tx1"/>
            </w14:solidFill>
          </w14:textFill>
        </w:rPr>
        <w:t>附件</w:t>
      </w:r>
      <w:bookmarkEnd w:id="128"/>
      <w:bookmarkEnd w:id="131"/>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p>
    <w:p w14:paraId="00B0A1AC">
      <w:pPr>
        <w:pStyle w:val="3"/>
        <w:spacing w:before="0" w:after="0" w:line="560" w:lineRule="exact"/>
        <w:jc w:val="center"/>
        <w:rPr>
          <w:rFonts w:ascii="宋体" w:hAnsi="宋体" w:eastAsia="宋体" w:cs="宋体"/>
          <w:color w:val="000000" w:themeColor="text1"/>
          <w:sz w:val="24"/>
          <w:szCs w:val="24"/>
          <w:highlight w:val="none"/>
          <w:lang w:val="zh-CN"/>
          <w14:textFill>
            <w14:solidFill>
              <w14:schemeClr w14:val="tx1"/>
            </w14:solidFill>
          </w14:textFill>
        </w:rPr>
      </w:pPr>
      <w:bookmarkStart w:id="132" w:name="_Toc18402"/>
      <w:bookmarkStart w:id="133" w:name="_Toc27754"/>
      <w:bookmarkStart w:id="134" w:name="_Toc30075"/>
      <w:bookmarkStart w:id="135" w:name="_Toc25238"/>
      <w:bookmarkStart w:id="136" w:name="_Toc471299110"/>
      <w:r>
        <w:rPr>
          <w:rFonts w:hint="eastAsia" w:ascii="宋体" w:hAnsi="宋体" w:eastAsia="宋体" w:cs="宋体"/>
          <w:color w:val="000000" w:themeColor="text1"/>
          <w:sz w:val="24"/>
          <w:szCs w:val="24"/>
          <w:highlight w:val="none"/>
          <w:lang w:val="zh-CN"/>
          <w14:textFill>
            <w14:solidFill>
              <w14:schemeClr w14:val="tx1"/>
            </w14:solidFill>
          </w14:textFill>
        </w:rPr>
        <w:t>响应情况表</w:t>
      </w:r>
      <w:bookmarkEnd w:id="132"/>
      <w:bookmarkEnd w:id="133"/>
      <w:bookmarkEnd w:id="134"/>
      <w:bookmarkEnd w:id="135"/>
    </w:p>
    <w:p w14:paraId="15638814">
      <w:pPr>
        <w:jc w:val="center"/>
        <w:rPr>
          <w:rFonts w:ascii="宋体" w:hAnsi="宋体" w:cs="宋体"/>
          <w:bCs/>
          <w:color w:val="000000" w:themeColor="text1"/>
          <w:sz w:val="24"/>
          <w:szCs w:val="24"/>
          <w:highlight w:val="none"/>
          <w:lang w:val="zh-CN"/>
          <w14:textFill>
            <w14:solidFill>
              <w14:schemeClr w14:val="tx1"/>
            </w14:solidFill>
          </w14:textFill>
        </w:rPr>
      </w:pPr>
    </w:p>
    <w:tbl>
      <w:tblPr>
        <w:tblStyle w:val="35"/>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CC3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57CD55B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w:t>
            </w: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规定填写</w:t>
            </w:r>
          </w:p>
        </w:tc>
        <w:tc>
          <w:tcPr>
            <w:tcW w:w="4200" w:type="dxa"/>
            <w:gridSpan w:val="2"/>
            <w:noWrap w:val="0"/>
            <w:vAlign w:val="center"/>
          </w:tcPr>
          <w:p w14:paraId="4B4650CD">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按供应商所投内容填写</w:t>
            </w:r>
          </w:p>
        </w:tc>
      </w:tr>
      <w:tr w14:paraId="4C55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3F6B2B96">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序号</w:t>
            </w:r>
          </w:p>
        </w:tc>
        <w:tc>
          <w:tcPr>
            <w:tcW w:w="1794" w:type="dxa"/>
            <w:noWrap w:val="0"/>
            <w:vAlign w:val="center"/>
          </w:tcPr>
          <w:p w14:paraId="418FC888">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内容</w:t>
            </w:r>
          </w:p>
        </w:tc>
        <w:tc>
          <w:tcPr>
            <w:tcW w:w="2196" w:type="dxa"/>
            <w:noWrap w:val="0"/>
            <w:vAlign w:val="center"/>
          </w:tcPr>
          <w:p w14:paraId="7CCD1F51">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lang w:val="en-US" w:eastAsia="zh-CN"/>
                <w14:textFill>
                  <w14:solidFill>
                    <w14:schemeClr w14:val="tx1"/>
                  </w14:solidFill>
                </w14:textFill>
              </w:rPr>
              <w:t>采购</w:t>
            </w:r>
            <w:r>
              <w:rPr>
                <w:rFonts w:hint="eastAsia" w:ascii="宋体" w:hAnsi="宋体" w:cs="宋体"/>
                <w:b/>
                <w:color w:val="000000" w:themeColor="text1"/>
                <w:sz w:val="24"/>
                <w:szCs w:val="21"/>
                <w:highlight w:val="none"/>
                <w:lang w:eastAsia="zh-CN"/>
                <w14:textFill>
                  <w14:solidFill>
                    <w14:schemeClr w14:val="tx1"/>
                  </w14:solidFill>
                </w14:textFill>
              </w:rPr>
              <w:t>文件</w:t>
            </w:r>
            <w:r>
              <w:rPr>
                <w:rFonts w:hint="eastAsia" w:ascii="宋体" w:hAnsi="宋体" w:cs="宋体"/>
                <w:b/>
                <w:color w:val="000000" w:themeColor="text1"/>
                <w:sz w:val="24"/>
                <w:szCs w:val="21"/>
                <w:highlight w:val="none"/>
                <w14:textFill>
                  <w14:solidFill>
                    <w14:schemeClr w14:val="tx1"/>
                  </w14:solidFill>
                </w14:textFill>
              </w:rPr>
              <w:t>要求</w:t>
            </w:r>
          </w:p>
        </w:tc>
        <w:tc>
          <w:tcPr>
            <w:tcW w:w="2222" w:type="dxa"/>
            <w:noWrap w:val="0"/>
            <w:vAlign w:val="center"/>
          </w:tcPr>
          <w:p w14:paraId="5CC04C94">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响应承诺</w:t>
            </w:r>
          </w:p>
        </w:tc>
        <w:tc>
          <w:tcPr>
            <w:tcW w:w="1978" w:type="dxa"/>
            <w:noWrap w:val="0"/>
            <w:vAlign w:val="center"/>
          </w:tcPr>
          <w:p w14:paraId="70A768CC">
            <w:pPr>
              <w:jc w:val="center"/>
              <w:rPr>
                <w:rFonts w:ascii="宋体" w:hAns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偏离说明</w:t>
            </w:r>
          </w:p>
        </w:tc>
      </w:tr>
      <w:tr w14:paraId="247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5FB0C0A">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1794" w:type="dxa"/>
            <w:noWrap w:val="0"/>
            <w:vAlign w:val="center"/>
          </w:tcPr>
          <w:p w14:paraId="5CD08D7B">
            <w:pPr>
              <w:jc w:val="center"/>
              <w:rPr>
                <w:rFonts w:hint="eastAsia"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技术响应</w:t>
            </w:r>
          </w:p>
          <w:p w14:paraId="5E57BF26">
            <w:pPr>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8"/>
                <w:highlight w:val="none"/>
                <w:lang w:eastAsia="zh-CN"/>
                <w14:textFill>
                  <w14:solidFill>
                    <w14:schemeClr w14:val="tx1"/>
                  </w14:solidFill>
                </w14:textFill>
              </w:rPr>
              <w:t>（</w:t>
            </w:r>
            <w:r>
              <w:rPr>
                <w:rFonts w:hint="eastAsia" w:ascii="宋体" w:hAnsi="宋体" w:cs="宋体"/>
                <w:color w:val="000000" w:themeColor="text1"/>
                <w:sz w:val="24"/>
                <w:szCs w:val="28"/>
                <w:highlight w:val="none"/>
                <w:lang w:val="en-US" w:eastAsia="zh-CN"/>
                <w14:textFill>
                  <w14:solidFill>
                    <w14:schemeClr w14:val="tx1"/>
                  </w14:solidFill>
                </w14:textFill>
              </w:rPr>
              <w:t>采购需求）</w:t>
            </w:r>
          </w:p>
        </w:tc>
        <w:tc>
          <w:tcPr>
            <w:tcW w:w="2196" w:type="dxa"/>
            <w:noWrap w:val="0"/>
            <w:vAlign w:val="center"/>
          </w:tcPr>
          <w:p w14:paraId="3F42D8AA">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299F4BC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154657B8">
            <w:pPr>
              <w:rPr>
                <w:rFonts w:ascii="宋体" w:hAnsi="宋体" w:cs="宋体"/>
                <w:color w:val="000000" w:themeColor="text1"/>
                <w:sz w:val="24"/>
                <w:szCs w:val="24"/>
                <w:highlight w:val="none"/>
                <w14:textFill>
                  <w14:solidFill>
                    <w14:schemeClr w14:val="tx1"/>
                  </w14:solidFill>
                </w14:textFill>
              </w:rPr>
            </w:pPr>
          </w:p>
        </w:tc>
      </w:tr>
      <w:tr w14:paraId="75CD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F162526">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p>
        </w:tc>
        <w:tc>
          <w:tcPr>
            <w:tcW w:w="1794" w:type="dxa"/>
            <w:noWrap w:val="0"/>
            <w:vAlign w:val="center"/>
          </w:tcPr>
          <w:p w14:paraId="02ABF2CB">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付款响应</w:t>
            </w:r>
          </w:p>
        </w:tc>
        <w:tc>
          <w:tcPr>
            <w:tcW w:w="2196" w:type="dxa"/>
            <w:noWrap w:val="0"/>
            <w:vAlign w:val="center"/>
          </w:tcPr>
          <w:p w14:paraId="669EFFD4">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41BB446D">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2C9C761D">
            <w:pPr>
              <w:rPr>
                <w:rFonts w:ascii="宋体" w:hAnsi="宋体" w:cs="宋体"/>
                <w:color w:val="000000" w:themeColor="text1"/>
                <w:sz w:val="24"/>
                <w:szCs w:val="24"/>
                <w:highlight w:val="none"/>
                <w14:textFill>
                  <w14:solidFill>
                    <w14:schemeClr w14:val="tx1"/>
                  </w14:solidFill>
                </w14:textFill>
              </w:rPr>
            </w:pPr>
          </w:p>
        </w:tc>
      </w:tr>
      <w:tr w14:paraId="00AE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F3EEE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p>
        </w:tc>
        <w:tc>
          <w:tcPr>
            <w:tcW w:w="1794" w:type="dxa"/>
            <w:noWrap w:val="0"/>
            <w:vAlign w:val="center"/>
          </w:tcPr>
          <w:p w14:paraId="05F8946D">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服务</w:t>
            </w:r>
            <w:r>
              <w:rPr>
                <w:rFonts w:hint="eastAsia" w:ascii="宋体" w:hAnsi="宋体" w:cs="宋体"/>
                <w:color w:val="000000" w:themeColor="text1"/>
                <w:sz w:val="24"/>
                <w:szCs w:val="28"/>
                <w:highlight w:val="none"/>
                <w:lang w:val="en-US" w:eastAsia="zh-CN"/>
                <w14:textFill>
                  <w14:solidFill>
                    <w14:schemeClr w14:val="tx1"/>
                  </w14:solidFill>
                </w14:textFill>
              </w:rPr>
              <w:t>期限</w:t>
            </w:r>
            <w:r>
              <w:rPr>
                <w:rFonts w:hint="eastAsia" w:ascii="宋体" w:hAnsi="宋体" w:cs="宋体"/>
                <w:color w:val="000000" w:themeColor="text1"/>
                <w:sz w:val="24"/>
                <w:szCs w:val="28"/>
                <w:highlight w:val="none"/>
                <w14:textFill>
                  <w14:solidFill>
                    <w14:schemeClr w14:val="tx1"/>
                  </w14:solidFill>
                </w14:textFill>
              </w:rPr>
              <w:t>响应</w:t>
            </w:r>
          </w:p>
        </w:tc>
        <w:tc>
          <w:tcPr>
            <w:tcW w:w="2196" w:type="dxa"/>
            <w:noWrap w:val="0"/>
            <w:vAlign w:val="center"/>
          </w:tcPr>
          <w:p w14:paraId="5C3F6CA1">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5EDED80">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131C6C2">
            <w:pPr>
              <w:rPr>
                <w:rFonts w:ascii="宋体" w:hAnsi="宋体" w:cs="宋体"/>
                <w:color w:val="000000" w:themeColor="text1"/>
                <w:sz w:val="24"/>
                <w:szCs w:val="24"/>
                <w:highlight w:val="none"/>
                <w14:textFill>
                  <w14:solidFill>
                    <w14:schemeClr w14:val="tx1"/>
                  </w14:solidFill>
                </w14:textFill>
              </w:rPr>
            </w:pPr>
          </w:p>
        </w:tc>
      </w:tr>
      <w:tr w14:paraId="139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D1ED639">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w:t>
            </w:r>
          </w:p>
        </w:tc>
        <w:tc>
          <w:tcPr>
            <w:tcW w:w="1794" w:type="dxa"/>
            <w:noWrap w:val="0"/>
            <w:vAlign w:val="center"/>
          </w:tcPr>
          <w:p w14:paraId="020D5E02">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w:t>
            </w:r>
          </w:p>
        </w:tc>
        <w:tc>
          <w:tcPr>
            <w:tcW w:w="2196" w:type="dxa"/>
            <w:noWrap w:val="0"/>
            <w:vAlign w:val="center"/>
          </w:tcPr>
          <w:p w14:paraId="6CBF32C6">
            <w:pPr>
              <w:rPr>
                <w:rFonts w:ascii="宋体" w:hAnsi="宋体" w:cs="宋体"/>
                <w:color w:val="000000" w:themeColor="text1"/>
                <w:sz w:val="24"/>
                <w:szCs w:val="24"/>
                <w:highlight w:val="none"/>
                <w14:textFill>
                  <w14:solidFill>
                    <w14:schemeClr w14:val="tx1"/>
                  </w14:solidFill>
                </w14:textFill>
              </w:rPr>
            </w:pPr>
          </w:p>
        </w:tc>
        <w:tc>
          <w:tcPr>
            <w:tcW w:w="2222" w:type="dxa"/>
            <w:noWrap w:val="0"/>
            <w:vAlign w:val="center"/>
          </w:tcPr>
          <w:p w14:paraId="519CBC49">
            <w:pPr>
              <w:rPr>
                <w:rFonts w:ascii="宋体" w:hAnsi="宋体" w:cs="宋体"/>
                <w:color w:val="000000" w:themeColor="text1"/>
                <w:sz w:val="24"/>
                <w:szCs w:val="24"/>
                <w:highlight w:val="none"/>
                <w14:textFill>
                  <w14:solidFill>
                    <w14:schemeClr w14:val="tx1"/>
                  </w14:solidFill>
                </w14:textFill>
              </w:rPr>
            </w:pPr>
          </w:p>
        </w:tc>
        <w:tc>
          <w:tcPr>
            <w:tcW w:w="1978" w:type="dxa"/>
            <w:noWrap w:val="0"/>
            <w:vAlign w:val="center"/>
          </w:tcPr>
          <w:p w14:paraId="4635E19C">
            <w:pPr>
              <w:rPr>
                <w:rFonts w:ascii="宋体" w:hAnsi="宋体" w:cs="宋体"/>
                <w:color w:val="000000" w:themeColor="text1"/>
                <w:sz w:val="24"/>
                <w:szCs w:val="24"/>
                <w:highlight w:val="none"/>
                <w14:textFill>
                  <w14:solidFill>
                    <w14:schemeClr w14:val="tx1"/>
                  </w14:solidFill>
                </w14:textFill>
              </w:rPr>
            </w:pPr>
          </w:p>
        </w:tc>
      </w:tr>
    </w:tbl>
    <w:p w14:paraId="7ACA3406">
      <w:pPr>
        <w:snapToGrid w:val="0"/>
        <w:spacing w:line="360" w:lineRule="auto"/>
        <w:rPr>
          <w:rFonts w:ascii="宋体" w:hAnsi="宋体" w:cs="宋体"/>
          <w:color w:val="000000" w:themeColor="text1"/>
          <w:sz w:val="24"/>
          <w:szCs w:val="24"/>
          <w:highlight w:val="none"/>
          <w14:textFill>
            <w14:solidFill>
              <w14:schemeClr w14:val="tx1"/>
            </w14:solidFill>
          </w14:textFill>
        </w:rPr>
      </w:pPr>
    </w:p>
    <w:p w14:paraId="35894F8B">
      <w:pPr>
        <w:snapToGrid w:val="0"/>
        <w:spacing w:line="460" w:lineRule="exact"/>
        <w:rPr>
          <w:rFonts w:ascii="宋体" w:hAnsi="宋体" w:cs="宋体"/>
          <w:b/>
          <w:bCs/>
          <w:color w:val="000000" w:themeColor="text1"/>
          <w:sz w:val="24"/>
          <w:szCs w:val="24"/>
          <w:highlight w:val="none"/>
          <w14:textFill>
            <w14:solidFill>
              <w14:schemeClr w14:val="tx1"/>
            </w14:solidFill>
          </w14:textFill>
        </w:rPr>
      </w:pPr>
    </w:p>
    <w:p w14:paraId="5D52A120">
      <w:pPr>
        <w:snapToGrid w:val="0"/>
        <w:spacing w:line="460" w:lineRule="exac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p>
    <w:p w14:paraId="0422DB12">
      <w:pPr>
        <w:spacing w:line="46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日期：   年   月   日</w:t>
      </w:r>
    </w:p>
    <w:p w14:paraId="32DCF35D">
      <w:pPr>
        <w:spacing w:line="460" w:lineRule="exact"/>
        <w:rPr>
          <w:rFonts w:ascii="宋体" w:hAnsi="宋体" w:cs="宋体"/>
          <w:color w:val="000000" w:themeColor="text1"/>
          <w:sz w:val="24"/>
          <w:szCs w:val="24"/>
          <w:highlight w:val="none"/>
          <w14:textFill>
            <w14:solidFill>
              <w14:schemeClr w14:val="tx1"/>
            </w14:solidFill>
          </w14:textFill>
        </w:rPr>
      </w:pPr>
    </w:p>
    <w:p w14:paraId="21E53B65">
      <w:pPr>
        <w:jc w:val="both"/>
        <w:rPr>
          <w:rFonts w:ascii="宋体" w:hAnsi="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注：</w:t>
      </w:r>
      <w:r>
        <w:rPr>
          <w:rFonts w:hint="eastAsia" w:ascii="宋体" w:hAnsi="宋体" w:cs="宋体"/>
          <w:color w:val="000000" w:themeColor="text1"/>
          <w:sz w:val="24"/>
          <w:szCs w:val="28"/>
          <w:highlight w:val="none"/>
          <w14:textFill>
            <w14:solidFill>
              <w14:schemeClr w14:val="tx1"/>
            </w14:solidFill>
          </w14:textFill>
        </w:rPr>
        <w:t>提供的服务满足采购需求；付款及服务期等均应响应</w:t>
      </w:r>
      <w:r>
        <w:rPr>
          <w:rFonts w:hint="eastAsia" w:ascii="宋体" w:hAnsi="宋体" w:cs="宋体"/>
          <w:color w:val="000000" w:themeColor="text1"/>
          <w:sz w:val="24"/>
          <w:szCs w:val="28"/>
          <w:highlight w:val="none"/>
          <w:lang w:val="en-US" w:eastAsia="zh-CN"/>
          <w14:textFill>
            <w14:solidFill>
              <w14:schemeClr w14:val="tx1"/>
            </w14:solidFill>
          </w14:textFill>
        </w:rPr>
        <w:t>采购</w:t>
      </w:r>
      <w:r>
        <w:rPr>
          <w:rFonts w:hint="eastAsia" w:ascii="宋体" w:hAnsi="宋体" w:cs="宋体"/>
          <w:color w:val="000000" w:themeColor="text1"/>
          <w:sz w:val="24"/>
          <w:szCs w:val="28"/>
          <w:highlight w:val="none"/>
          <w:lang w:eastAsia="zh-CN"/>
          <w14:textFill>
            <w14:solidFill>
              <w14:schemeClr w14:val="tx1"/>
            </w14:solidFill>
          </w14:textFill>
        </w:rPr>
        <w:t>文件</w:t>
      </w:r>
      <w:r>
        <w:rPr>
          <w:rFonts w:hint="eastAsia" w:ascii="宋体" w:hAnsi="宋体" w:cs="宋体"/>
          <w:color w:val="000000" w:themeColor="text1"/>
          <w:sz w:val="24"/>
          <w:szCs w:val="28"/>
          <w:highlight w:val="none"/>
          <w14:textFill>
            <w14:solidFill>
              <w14:schemeClr w14:val="tx1"/>
            </w14:solidFill>
          </w14:textFill>
        </w:rPr>
        <w:t>要求。</w:t>
      </w:r>
    </w:p>
    <w:p w14:paraId="43F4CA87">
      <w:pPr>
        <w:pStyle w:val="4"/>
        <w:spacing w:before="0" w:after="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br w:type="page"/>
      </w:r>
    </w:p>
    <w:p w14:paraId="13BEFA50">
      <w:pPr>
        <w:pStyle w:val="3"/>
        <w:bidi w:val="0"/>
        <w:rPr>
          <w:rFonts w:hint="eastAsia" w:ascii="宋体" w:hAnsi="宋体" w:eastAsia="宋体" w:cs="宋体"/>
          <w:color w:val="000000" w:themeColor="text1"/>
          <w:sz w:val="24"/>
          <w:szCs w:val="16"/>
          <w:highlight w:val="none"/>
          <w:lang w:eastAsia="zh-CN"/>
          <w14:textFill>
            <w14:solidFill>
              <w14:schemeClr w14:val="tx1"/>
            </w14:solidFill>
          </w14:textFill>
        </w:rPr>
      </w:pPr>
      <w:bookmarkStart w:id="137" w:name="_Toc32767"/>
      <w:bookmarkStart w:id="138" w:name="_Toc19848"/>
      <w:r>
        <w:rPr>
          <w:rFonts w:hint="eastAsia" w:ascii="宋体" w:hAnsi="宋体" w:eastAsia="宋体" w:cs="宋体"/>
          <w:color w:val="000000" w:themeColor="text1"/>
          <w:sz w:val="24"/>
          <w:szCs w:val="16"/>
          <w:highlight w:val="none"/>
          <w14:textFill>
            <w14:solidFill>
              <w14:schemeClr w14:val="tx1"/>
            </w14:solidFill>
          </w14:textFill>
        </w:rPr>
        <w:t>附件</w:t>
      </w:r>
      <w:bookmarkEnd w:id="136"/>
      <w:bookmarkEnd w:id="137"/>
      <w:bookmarkEnd w:id="138"/>
      <w:r>
        <w:rPr>
          <w:rFonts w:hint="eastAsia" w:ascii="宋体" w:hAnsi="宋体" w:eastAsia="宋体" w:cs="宋体"/>
          <w:color w:val="000000" w:themeColor="text1"/>
          <w:sz w:val="24"/>
          <w:szCs w:val="16"/>
          <w:highlight w:val="none"/>
          <w:lang w:val="en-US" w:eastAsia="zh-CN"/>
          <w14:textFill>
            <w14:solidFill>
              <w14:schemeClr w14:val="tx1"/>
            </w14:solidFill>
          </w14:textFill>
        </w:rPr>
        <w:t>九</w:t>
      </w:r>
    </w:p>
    <w:p w14:paraId="1FA575D6">
      <w:pPr>
        <w:rPr>
          <w:color w:val="000000" w:themeColor="text1"/>
          <w:highlight w:val="none"/>
          <w14:textFill>
            <w14:solidFill>
              <w14:schemeClr w14:val="tx1"/>
            </w14:solidFill>
          </w14:textFill>
        </w:rPr>
      </w:pPr>
    </w:p>
    <w:p w14:paraId="3D8874BF">
      <w:pPr>
        <w:pStyle w:val="3"/>
        <w:spacing w:before="0" w:after="0" w:line="560" w:lineRule="exact"/>
        <w:jc w:val="center"/>
        <w:rPr>
          <w:rFonts w:ascii="宋体" w:hAnsi="宋体" w:eastAsia="宋体" w:cs="宋体"/>
          <w:b w:val="0"/>
          <w:bCs/>
          <w:color w:val="000000" w:themeColor="text1"/>
          <w:sz w:val="24"/>
          <w:szCs w:val="24"/>
          <w:highlight w:val="none"/>
          <w14:textFill>
            <w14:solidFill>
              <w14:schemeClr w14:val="tx1"/>
            </w14:solidFill>
          </w14:textFill>
        </w:rPr>
      </w:pPr>
      <w:bookmarkStart w:id="139" w:name="_Toc28850"/>
      <w:bookmarkStart w:id="140" w:name="_Toc30670"/>
      <w:bookmarkStart w:id="141" w:name="_Toc28453"/>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b w:val="0"/>
          <w:bCs/>
          <w:color w:val="000000" w:themeColor="text1"/>
          <w:sz w:val="24"/>
          <w:szCs w:val="24"/>
          <w:highlight w:val="none"/>
          <w14:textFill>
            <w14:solidFill>
              <w14:schemeClr w14:val="tx1"/>
            </w14:solidFill>
          </w14:textFill>
        </w:rPr>
        <w:t>文件要求和供应商认为需要提供的其它说明和资料</w:t>
      </w:r>
      <w:bookmarkEnd w:id="139"/>
      <w:bookmarkEnd w:id="140"/>
      <w:bookmarkEnd w:id="141"/>
    </w:p>
    <w:p w14:paraId="63113482">
      <w:pPr>
        <w:autoSpaceDE w:val="0"/>
        <w:autoSpaceDN w:val="0"/>
        <w:adjustRightInd w:val="0"/>
        <w:snapToGrid w:val="0"/>
        <w:spacing w:line="360" w:lineRule="auto"/>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p>
    <w:p w14:paraId="3AC5EBA0">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6991821">
      <w:pP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br w:type="page"/>
      </w:r>
    </w:p>
    <w:p w14:paraId="72A295C8">
      <w:pPr>
        <w:outlineLvl w:val="0"/>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114"/>
          <w:rFonts w:hint="eastAsia" w:ascii="宋体" w:hAnsi="宋体" w:eastAsia="宋体" w:cs="宋体"/>
          <w:color w:val="000000" w:themeColor="text1"/>
          <w:sz w:val="24"/>
          <w:szCs w:val="24"/>
          <w:highlight w:val="none"/>
          <w:lang w:val="en-US" w:eastAsia="zh-CN"/>
          <w14:textFill>
            <w14:solidFill>
              <w14:schemeClr w14:val="tx1"/>
            </w14:solidFill>
          </w14:textFill>
        </w:rPr>
        <w:t>额外附件（无需编入响应文件）</w:t>
      </w:r>
    </w:p>
    <w:p w14:paraId="6F3D64F5">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p>
    <w:p w14:paraId="2722BF9F">
      <w:pPr>
        <w:spacing w:line="360" w:lineRule="auto"/>
        <w:jc w:val="center"/>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六安市叶集区人民医院（六安市第六人民医院）东软64排CT维保服务采购项目</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br w:type="textWrapping"/>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轮</w:t>
      </w:r>
      <w:r>
        <w:rPr>
          <w:rFonts w:hint="eastAsia" w:ascii="宋体" w:hAnsi="宋体" w:eastAsia="宋体" w:cs="宋体"/>
          <w:b/>
          <w:bCs w:val="0"/>
          <w:color w:val="000000" w:themeColor="text1"/>
          <w:sz w:val="24"/>
          <w:szCs w:val="24"/>
          <w:highlight w:val="none"/>
          <w14:textFill>
            <w14:solidFill>
              <w14:schemeClr w14:val="tx1"/>
            </w14:solidFill>
          </w14:textFill>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致 ：</w:t>
      </w:r>
      <w:r>
        <w:rPr>
          <w:rFonts w:hint="eastAsia" w:ascii="宋体" w:hAnsi="宋体" w:cs="宋体"/>
          <w:color w:val="000000" w:themeColor="text1"/>
          <w:sz w:val="24"/>
          <w:szCs w:val="24"/>
          <w:highlight w:val="none"/>
          <w:u w:val="single"/>
          <w14:textFill>
            <w14:solidFill>
              <w14:schemeClr w14:val="tx1"/>
            </w14:solidFill>
          </w14:textFill>
        </w:rPr>
        <w:t>XXX（</w:t>
      </w:r>
      <w:r>
        <w:rPr>
          <w:rFonts w:hint="eastAsia" w:ascii="宋体" w:hAnsi="宋体" w:cs="宋体"/>
          <w:color w:val="000000" w:themeColor="text1"/>
          <w:sz w:val="24"/>
          <w:szCs w:val="24"/>
          <w:highlight w:val="none"/>
          <w:u w:val="single"/>
          <w:lang w:val="en-US" w:eastAsia="zh-CN"/>
          <w14:textFill>
            <w14:solidFill>
              <w14:schemeClr w14:val="tx1"/>
            </w14:solidFill>
          </w14:textFill>
        </w:rPr>
        <w:t>采购人、</w:t>
      </w:r>
      <w:r>
        <w:rPr>
          <w:rFonts w:hint="eastAsia" w:ascii="宋体" w:hAnsi="宋体" w:cs="宋体"/>
          <w:color w:val="000000" w:themeColor="text1"/>
          <w:sz w:val="24"/>
          <w:szCs w:val="24"/>
          <w:highlight w:val="none"/>
          <w:u w:val="single"/>
          <w14:textFill>
            <w14:solidFill>
              <w14:schemeClr w14:val="tx1"/>
            </w14:solidFill>
          </w14:textFill>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1、我方愿在前一轮</w:t>
      </w:r>
      <w:r>
        <w:rPr>
          <w:rFonts w:hint="eastAsia" w:ascii="宋体" w:hAnsi="宋体" w:cs="宋体"/>
          <w:bCs/>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bCs/>
          <w:color w:val="000000" w:themeColor="text1"/>
          <w:sz w:val="24"/>
          <w:szCs w:val="24"/>
          <w:highlight w:val="none"/>
          <w14:textFill>
            <w14:solidFill>
              <w14:schemeClr w14:val="tx1"/>
            </w14:solidFill>
          </w14:textFill>
        </w:rPr>
        <w:t>报价的基础上再次让利，让利后响应报价</w:t>
      </w:r>
      <w:r>
        <w:rPr>
          <w:rFonts w:hint="eastAsia"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val="en-US" w:eastAsia="zh-CN"/>
          <w14:textFill>
            <w14:solidFill>
              <w14:schemeClr w14:val="tx1"/>
            </w14:solidFill>
          </w14:textFill>
        </w:rPr>
        <w:t>结算费率）</w:t>
      </w:r>
      <w:r>
        <w:rPr>
          <w:rFonts w:hint="eastAsia" w:ascii="宋体" w:hAnsi="宋体" w:eastAsia="宋体" w:cs="宋体"/>
          <w:bCs/>
          <w:color w:val="000000" w:themeColor="text1"/>
          <w:sz w:val="24"/>
          <w:szCs w:val="24"/>
          <w:highlight w:val="none"/>
          <w14:textFill>
            <w14:solidFill>
              <w14:schemeClr w14:val="tx1"/>
            </w14:solidFill>
          </w14:textFill>
        </w:rPr>
        <w:t>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大写：           小写：         元</w:t>
      </w:r>
      <w:r>
        <w:rPr>
          <w:rFonts w:hint="eastAsia" w:ascii="宋体" w:hAnsi="宋体" w:eastAsia="宋体" w:cs="宋体"/>
          <w:bCs/>
          <w:color w:val="000000" w:themeColor="text1"/>
          <w:sz w:val="24"/>
          <w:szCs w:val="24"/>
          <w:highlight w:val="none"/>
          <w14:textFill>
            <w14:solidFill>
              <w14:schemeClr w14:val="tx1"/>
            </w14:solidFill>
          </w14:textFill>
        </w:rPr>
        <w:t>。如果我方有幸成为成交单位，报价费用为所</w:t>
      </w:r>
      <w:r>
        <w:rPr>
          <w:rFonts w:hint="eastAsia" w:ascii="宋体" w:hAnsi="宋体" w:cs="宋体"/>
          <w:bCs/>
          <w:color w:val="000000" w:themeColor="text1"/>
          <w:sz w:val="24"/>
          <w:szCs w:val="24"/>
          <w:highlight w:val="none"/>
          <w:lang w:val="en-US" w:eastAsia="zh-CN"/>
          <w14:textFill>
            <w14:solidFill>
              <w14:schemeClr w14:val="tx1"/>
            </w14:solidFill>
          </w14:textFill>
        </w:rPr>
        <w:t>采购需求</w:t>
      </w:r>
      <w:r>
        <w:rPr>
          <w:rFonts w:hint="eastAsia" w:ascii="宋体" w:hAnsi="宋体" w:eastAsia="宋体" w:cs="宋体"/>
          <w:bCs/>
          <w:color w:val="000000" w:themeColor="text1"/>
          <w:sz w:val="24"/>
          <w:szCs w:val="24"/>
          <w:highlight w:val="none"/>
          <w14:textFill>
            <w14:solidFill>
              <w14:schemeClr w14:val="tx1"/>
            </w14:solidFill>
          </w14:textFill>
        </w:rPr>
        <w:t>范围内全部</w:t>
      </w:r>
      <w:r>
        <w:rPr>
          <w:rFonts w:hint="eastAsia" w:ascii="宋体" w:hAnsi="宋体" w:cs="宋体"/>
          <w:bCs/>
          <w:color w:val="000000" w:themeColor="text1"/>
          <w:sz w:val="24"/>
          <w:szCs w:val="24"/>
          <w:highlight w:val="none"/>
          <w:lang w:val="en-US" w:eastAsia="zh-CN"/>
          <w14:textFill>
            <w14:solidFill>
              <w14:schemeClr w14:val="tx1"/>
            </w14:solidFill>
          </w14:textFill>
        </w:rPr>
        <w:t>内容</w:t>
      </w:r>
      <w:r>
        <w:rPr>
          <w:rFonts w:hint="eastAsia" w:ascii="宋体" w:hAnsi="宋体" w:eastAsia="宋体" w:cs="宋体"/>
          <w:bCs/>
          <w:color w:val="000000" w:themeColor="text1"/>
          <w:sz w:val="24"/>
          <w:szCs w:val="24"/>
          <w:highlight w:val="none"/>
          <w14:textFill>
            <w14:solidFill>
              <w14:schemeClr w14:val="tx1"/>
            </w14:solidFill>
          </w14:textFill>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各分项价格在前一轮价格基础上统一下浮。</w:t>
      </w:r>
      <w:r>
        <w:rPr>
          <w:rFonts w:hint="eastAsia" w:ascii="宋体" w:hAnsi="宋体" w:eastAsia="宋体" w:cs="宋体"/>
          <w:bCs/>
          <w:color w:val="000000" w:themeColor="text1"/>
          <w:sz w:val="24"/>
          <w:szCs w:val="24"/>
          <w:highlight w:val="none"/>
          <w14:textFill>
            <w14:solidFill>
              <w14:schemeClr w14:val="tx1"/>
            </w14:solidFill>
          </w14:textFill>
        </w:rPr>
        <w:br w:type="textWrapping"/>
      </w:r>
      <w:r>
        <w:rPr>
          <w:rFonts w:hint="eastAsia" w:ascii="宋体" w:hAnsi="宋体" w:eastAsia="宋体" w:cs="宋体"/>
          <w:bCs/>
          <w:color w:val="000000" w:themeColor="text1"/>
          <w:sz w:val="24"/>
          <w:szCs w:val="24"/>
          <w:highlight w:val="none"/>
          <w14:textFill>
            <w14:solidFill>
              <w14:schemeClr w14:val="tx1"/>
            </w14:solidFill>
          </w14:textFill>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color w:val="000000" w:themeColor="text1"/>
          <w:sz w:val="24"/>
          <w:szCs w:val="24"/>
          <w:highlight w:val="none"/>
          <w14:textFill>
            <w14:solidFill>
              <w14:schemeClr w14:val="tx1"/>
            </w14:solidFill>
          </w14:textFill>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日期：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3EFE74D3">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7DB1E45E">
      <w:pPr>
        <w:spacing w:line="360" w:lineRule="auto"/>
        <w:jc w:val="center"/>
        <w:rPr>
          <w:rFonts w:hint="eastAsia" w:ascii="宋体" w:hAnsi="宋体" w:eastAsia="宋体" w:cs="宋体"/>
          <w:bCs/>
          <w:color w:val="000000" w:themeColor="text1"/>
          <w:sz w:val="24"/>
          <w:szCs w:val="24"/>
          <w:highlight w:val="none"/>
          <w14:textFill>
            <w14:solidFill>
              <w14:schemeClr w14:val="tx1"/>
            </w14:solidFill>
          </w14:textFill>
        </w:rPr>
      </w:pPr>
    </w:p>
    <w:p w14:paraId="07E0430A">
      <w:pPr>
        <w:spacing w:line="360" w:lineRule="auto"/>
        <w:jc w:val="both"/>
        <w:rPr>
          <w:rFonts w:hint="eastAsia" w:ascii="宋体" w:hAnsi="宋体" w:eastAsia="宋体" w:cs="宋体"/>
          <w:bCs/>
          <w:color w:val="000000" w:themeColor="text1"/>
          <w:sz w:val="24"/>
          <w:szCs w:val="24"/>
          <w:highlight w:val="none"/>
          <w14:textFill>
            <w14:solidFill>
              <w14:schemeClr w14:val="tx1"/>
            </w14:solidFill>
          </w14:textFill>
        </w:rPr>
      </w:pPr>
    </w:p>
    <w:p w14:paraId="29FC9EAB">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注：</w:t>
      </w:r>
    </w:p>
    <w:p w14:paraId="68F64065">
      <w:pPr>
        <w:spacing w:line="360" w:lineRule="auto"/>
        <w:jc w:val="left"/>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val="0"/>
          <w:color w:val="000000" w:themeColor="text1"/>
          <w:sz w:val="24"/>
          <w:szCs w:val="24"/>
          <w:highlight w:val="none"/>
          <w14:textFill>
            <w14:solidFill>
              <w14:schemeClr w14:val="tx1"/>
            </w14:solidFill>
          </w14:textFill>
        </w:rPr>
        <w:t>最终报价单位为元，最多保留两位小数。</w:t>
      </w:r>
    </w:p>
    <w:p w14:paraId="03B75425">
      <w:pPr>
        <w:spacing w:line="360" w:lineRule="auto"/>
        <w:jc w:val="left"/>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w:t>
      </w:r>
      <w:r>
        <w:rPr>
          <w:rFonts w:hint="eastAsia" w:ascii="宋体" w:hAnsi="宋体" w:cs="宋体"/>
          <w:b/>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）各供应商单独备足空白“报价函”并加盖单位公章及签字，用于多轮报价时填写。</w:t>
      </w:r>
    </w:p>
    <w:p w14:paraId="47BAE854">
      <w:pPr>
        <w:rPr>
          <w:rFonts w:ascii="宋体" w:hAnsi="宋体" w:cs="宋体"/>
          <w:bCs/>
          <w:color w:val="000000" w:themeColor="text1"/>
          <w:sz w:val="24"/>
          <w:szCs w:val="24"/>
          <w:highlight w:val="none"/>
          <w14:textFill>
            <w14:solidFill>
              <w14:schemeClr w14:val="tx1"/>
            </w14:solidFill>
          </w14:textFill>
        </w:rPr>
      </w:pPr>
      <w:r>
        <w:rPr>
          <w:rFonts w:ascii="宋体" w:hAnsi="宋体" w:cs="宋体"/>
          <w:bCs/>
          <w:color w:val="000000" w:themeColor="text1"/>
          <w:sz w:val="24"/>
          <w:szCs w:val="24"/>
          <w:highlight w:val="none"/>
          <w14:textFill>
            <w14:solidFill>
              <w14:schemeClr w14:val="tx1"/>
            </w14:solidFill>
          </w14:textFill>
        </w:rPr>
        <w:br w:type="page"/>
      </w:r>
    </w:p>
    <w:p w14:paraId="06273614">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142" w:name="_Toc22109"/>
      <w:bookmarkStart w:id="143" w:name="_Toc26062"/>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142"/>
      <w:bookmarkEnd w:id="143"/>
    </w:p>
    <w:p w14:paraId="103E4A32">
      <w:pPr>
        <w:adjustRightInd w:val="0"/>
        <w:snapToGrid w:val="0"/>
        <w:spacing w:before="312" w:beforeLines="100"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4" w:name="_Toc29798"/>
      <w:bookmarkStart w:id="145" w:name="_Toc2415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144"/>
      <w:bookmarkEnd w:id="145"/>
    </w:p>
    <w:p w14:paraId="6EBFB42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1A27070">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B139EA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330CF44">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A997CB5">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3A794771">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7A1E08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6" w:name="_Toc23479"/>
      <w:bookmarkStart w:id="147" w:name="_Toc544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146"/>
      <w:bookmarkEnd w:id="147"/>
    </w:p>
    <w:p w14:paraId="24E9B6D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93E2A2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E72909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3E36A6A">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DE609FE">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48" w:name="_Toc26982"/>
      <w:bookmarkStart w:id="149" w:name="_Toc5891"/>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148"/>
      <w:bookmarkEnd w:id="149"/>
    </w:p>
    <w:p w14:paraId="06B2A02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628548">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2EC85157">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AB67ED9">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D40CCE0">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43E37DE">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671C2CC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5A93FCE4">
      <w:pPr>
        <w:adjustRightInd w:val="0"/>
        <w:snapToGrid w:val="0"/>
        <w:spacing w:line="360" w:lineRule="auto"/>
        <w:outlineLvl w:val="1"/>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150" w:name="_Toc9453"/>
      <w:bookmarkStart w:id="151" w:name="_Toc1603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150"/>
      <w:bookmarkEnd w:id="151"/>
    </w:p>
    <w:p w14:paraId="63E25BA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AC1C892">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268DEFDC">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5AB90477">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4DBBFF0F">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152" w:name="_Toc10345"/>
      <w:bookmarkStart w:id="153" w:name="_Toc28276"/>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152"/>
      <w:bookmarkEnd w:id="153"/>
    </w:p>
    <w:p w14:paraId="27AA86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0192E5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08FDA55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7921A64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color w:val="000000" w:themeColor="text1"/>
          <w:sz w:val="24"/>
          <w:szCs w:val="24"/>
          <w:highlight w:val="none"/>
          <w14:textFill>
            <w14:solidFill>
              <w14:schemeClr w14:val="tx1"/>
            </w14:solidFill>
          </w14:textFill>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21"/>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54CD84B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2"/>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2"/>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037E54B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D5884"/>
    <w:rsid w:val="000E103D"/>
    <w:rsid w:val="0010048A"/>
    <w:rsid w:val="00103897"/>
    <w:rsid w:val="00111E06"/>
    <w:rsid w:val="00122307"/>
    <w:rsid w:val="001252D5"/>
    <w:rsid w:val="001260B2"/>
    <w:rsid w:val="00135355"/>
    <w:rsid w:val="00143438"/>
    <w:rsid w:val="00146D70"/>
    <w:rsid w:val="00156254"/>
    <w:rsid w:val="001723C8"/>
    <w:rsid w:val="001A3254"/>
    <w:rsid w:val="001B57E1"/>
    <w:rsid w:val="001C66E0"/>
    <w:rsid w:val="001D0C74"/>
    <w:rsid w:val="0021447E"/>
    <w:rsid w:val="002175D2"/>
    <w:rsid w:val="00222133"/>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40FC"/>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41793"/>
    <w:rsid w:val="004479E5"/>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B31C3"/>
    <w:rsid w:val="006C6C46"/>
    <w:rsid w:val="006D3DB9"/>
    <w:rsid w:val="006D3E10"/>
    <w:rsid w:val="006F01D1"/>
    <w:rsid w:val="006F15F4"/>
    <w:rsid w:val="006F1A5A"/>
    <w:rsid w:val="006F3D3E"/>
    <w:rsid w:val="00703A7D"/>
    <w:rsid w:val="00723EFB"/>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878D1"/>
    <w:rsid w:val="008958C5"/>
    <w:rsid w:val="008A6D3D"/>
    <w:rsid w:val="008B0E3B"/>
    <w:rsid w:val="008C0ED2"/>
    <w:rsid w:val="008D216E"/>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C337D"/>
    <w:rsid w:val="009E1068"/>
    <w:rsid w:val="00A12534"/>
    <w:rsid w:val="00A17EB8"/>
    <w:rsid w:val="00A2462A"/>
    <w:rsid w:val="00A3470B"/>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14102"/>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4E40"/>
    <w:rsid w:val="00DA7984"/>
    <w:rsid w:val="00DD2C6C"/>
    <w:rsid w:val="00DE18CD"/>
    <w:rsid w:val="00DF3269"/>
    <w:rsid w:val="00E11038"/>
    <w:rsid w:val="00E12E66"/>
    <w:rsid w:val="00E20914"/>
    <w:rsid w:val="00E30FAC"/>
    <w:rsid w:val="00E51EF9"/>
    <w:rsid w:val="00E54D24"/>
    <w:rsid w:val="00E566FF"/>
    <w:rsid w:val="00E83E73"/>
    <w:rsid w:val="00E912B4"/>
    <w:rsid w:val="00EA233A"/>
    <w:rsid w:val="00EA25B6"/>
    <w:rsid w:val="00EA40E8"/>
    <w:rsid w:val="00EB6BB0"/>
    <w:rsid w:val="00EC0762"/>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257D"/>
    <w:rsid w:val="00F977E8"/>
    <w:rsid w:val="00FA1EEE"/>
    <w:rsid w:val="00FA35DA"/>
    <w:rsid w:val="00FB2149"/>
    <w:rsid w:val="00FC02BF"/>
    <w:rsid w:val="00FC1D08"/>
    <w:rsid w:val="00FC7A00"/>
    <w:rsid w:val="00FD0939"/>
    <w:rsid w:val="00FF1C7C"/>
    <w:rsid w:val="01080A12"/>
    <w:rsid w:val="010D6029"/>
    <w:rsid w:val="01115B19"/>
    <w:rsid w:val="0112363F"/>
    <w:rsid w:val="011C35D4"/>
    <w:rsid w:val="013E2686"/>
    <w:rsid w:val="01422176"/>
    <w:rsid w:val="01583963"/>
    <w:rsid w:val="01650689"/>
    <w:rsid w:val="016E2F6B"/>
    <w:rsid w:val="01785B98"/>
    <w:rsid w:val="017B7436"/>
    <w:rsid w:val="017E1B19"/>
    <w:rsid w:val="01830099"/>
    <w:rsid w:val="01875DDB"/>
    <w:rsid w:val="018C519F"/>
    <w:rsid w:val="019D55FE"/>
    <w:rsid w:val="01B14C06"/>
    <w:rsid w:val="01BA61B0"/>
    <w:rsid w:val="01C012ED"/>
    <w:rsid w:val="01C26E13"/>
    <w:rsid w:val="01C901A1"/>
    <w:rsid w:val="01CA216C"/>
    <w:rsid w:val="01CA5CC8"/>
    <w:rsid w:val="01D029E9"/>
    <w:rsid w:val="01D54D98"/>
    <w:rsid w:val="01D84888"/>
    <w:rsid w:val="01DC6A75"/>
    <w:rsid w:val="01E925F2"/>
    <w:rsid w:val="01ED3B47"/>
    <w:rsid w:val="01F176F8"/>
    <w:rsid w:val="02021905"/>
    <w:rsid w:val="021138F7"/>
    <w:rsid w:val="02160F0D"/>
    <w:rsid w:val="02223D56"/>
    <w:rsid w:val="022B0E5C"/>
    <w:rsid w:val="023A4BFB"/>
    <w:rsid w:val="02447828"/>
    <w:rsid w:val="024B6E08"/>
    <w:rsid w:val="025A0025"/>
    <w:rsid w:val="027C5214"/>
    <w:rsid w:val="02832A46"/>
    <w:rsid w:val="02873BB9"/>
    <w:rsid w:val="02895B83"/>
    <w:rsid w:val="02900CBF"/>
    <w:rsid w:val="02906F11"/>
    <w:rsid w:val="029307AF"/>
    <w:rsid w:val="02963C41"/>
    <w:rsid w:val="029A7D90"/>
    <w:rsid w:val="02A209F3"/>
    <w:rsid w:val="02A604E3"/>
    <w:rsid w:val="02B524D4"/>
    <w:rsid w:val="02B7449E"/>
    <w:rsid w:val="02F0175E"/>
    <w:rsid w:val="02F4124E"/>
    <w:rsid w:val="02FC0103"/>
    <w:rsid w:val="03005171"/>
    <w:rsid w:val="03011BBD"/>
    <w:rsid w:val="03062E20"/>
    <w:rsid w:val="030A6CC4"/>
    <w:rsid w:val="031E62CB"/>
    <w:rsid w:val="03265955"/>
    <w:rsid w:val="03327FC8"/>
    <w:rsid w:val="034C108A"/>
    <w:rsid w:val="035166A0"/>
    <w:rsid w:val="03555A65"/>
    <w:rsid w:val="03563CB7"/>
    <w:rsid w:val="035A307B"/>
    <w:rsid w:val="03667C72"/>
    <w:rsid w:val="036C34DA"/>
    <w:rsid w:val="037C7496"/>
    <w:rsid w:val="038F71C9"/>
    <w:rsid w:val="03A10CAA"/>
    <w:rsid w:val="03AD764F"/>
    <w:rsid w:val="03AE3AF3"/>
    <w:rsid w:val="03B22505"/>
    <w:rsid w:val="03B24C65"/>
    <w:rsid w:val="03B90220"/>
    <w:rsid w:val="03C449CC"/>
    <w:rsid w:val="03C96DCD"/>
    <w:rsid w:val="03CA0201"/>
    <w:rsid w:val="03CC79A6"/>
    <w:rsid w:val="03CF75C5"/>
    <w:rsid w:val="03DD1CE2"/>
    <w:rsid w:val="03E017D2"/>
    <w:rsid w:val="03E07A24"/>
    <w:rsid w:val="03E33071"/>
    <w:rsid w:val="03EA2651"/>
    <w:rsid w:val="03F31506"/>
    <w:rsid w:val="03F62DA4"/>
    <w:rsid w:val="03F91677"/>
    <w:rsid w:val="04013293"/>
    <w:rsid w:val="04067181"/>
    <w:rsid w:val="040C25C7"/>
    <w:rsid w:val="04103CCA"/>
    <w:rsid w:val="04114082"/>
    <w:rsid w:val="04131BA8"/>
    <w:rsid w:val="04245B63"/>
    <w:rsid w:val="042518DB"/>
    <w:rsid w:val="0433224A"/>
    <w:rsid w:val="04367644"/>
    <w:rsid w:val="043D484D"/>
    <w:rsid w:val="043F0BEF"/>
    <w:rsid w:val="0451447E"/>
    <w:rsid w:val="04583A5F"/>
    <w:rsid w:val="045D2E23"/>
    <w:rsid w:val="045F303F"/>
    <w:rsid w:val="046248DD"/>
    <w:rsid w:val="04671EF4"/>
    <w:rsid w:val="04763EE5"/>
    <w:rsid w:val="04781A0B"/>
    <w:rsid w:val="04844854"/>
    <w:rsid w:val="048900BC"/>
    <w:rsid w:val="04910D1F"/>
    <w:rsid w:val="04912ACD"/>
    <w:rsid w:val="04983E5B"/>
    <w:rsid w:val="049D5915"/>
    <w:rsid w:val="04A86794"/>
    <w:rsid w:val="04A942BA"/>
    <w:rsid w:val="04AD224F"/>
    <w:rsid w:val="04B05649"/>
    <w:rsid w:val="04B3693F"/>
    <w:rsid w:val="04B54A0D"/>
    <w:rsid w:val="04BC223F"/>
    <w:rsid w:val="04BE7047"/>
    <w:rsid w:val="04CE5ACF"/>
    <w:rsid w:val="04D05CEB"/>
    <w:rsid w:val="04DC4690"/>
    <w:rsid w:val="04E11CA6"/>
    <w:rsid w:val="04EE6171"/>
    <w:rsid w:val="04EE7346"/>
    <w:rsid w:val="04F55751"/>
    <w:rsid w:val="04F80D9E"/>
    <w:rsid w:val="04FC6AE0"/>
    <w:rsid w:val="05015EA4"/>
    <w:rsid w:val="05017C52"/>
    <w:rsid w:val="05036D27"/>
    <w:rsid w:val="05045387"/>
    <w:rsid w:val="05080FE1"/>
    <w:rsid w:val="05104E6D"/>
    <w:rsid w:val="05123C0E"/>
    <w:rsid w:val="05163935"/>
    <w:rsid w:val="051A6F66"/>
    <w:rsid w:val="052102F4"/>
    <w:rsid w:val="0523406D"/>
    <w:rsid w:val="052A53FB"/>
    <w:rsid w:val="05377B18"/>
    <w:rsid w:val="0539563E"/>
    <w:rsid w:val="053C0C8A"/>
    <w:rsid w:val="0543026B"/>
    <w:rsid w:val="05483AD3"/>
    <w:rsid w:val="054D2E98"/>
    <w:rsid w:val="055204AE"/>
    <w:rsid w:val="05573D16"/>
    <w:rsid w:val="055F2BCB"/>
    <w:rsid w:val="05771BD1"/>
    <w:rsid w:val="057E74F5"/>
    <w:rsid w:val="05962A91"/>
    <w:rsid w:val="05B178CA"/>
    <w:rsid w:val="05B42F17"/>
    <w:rsid w:val="05D76C05"/>
    <w:rsid w:val="05ED76CD"/>
    <w:rsid w:val="06007F0A"/>
    <w:rsid w:val="060911D9"/>
    <w:rsid w:val="060D2627"/>
    <w:rsid w:val="06113EC5"/>
    <w:rsid w:val="061B2F96"/>
    <w:rsid w:val="062214BD"/>
    <w:rsid w:val="06222576"/>
    <w:rsid w:val="06262FF6"/>
    <w:rsid w:val="062A4F87"/>
    <w:rsid w:val="063212EB"/>
    <w:rsid w:val="063254ED"/>
    <w:rsid w:val="0633208D"/>
    <w:rsid w:val="06336531"/>
    <w:rsid w:val="065B3392"/>
    <w:rsid w:val="065C5FAD"/>
    <w:rsid w:val="06624721"/>
    <w:rsid w:val="066466EB"/>
    <w:rsid w:val="06695AAF"/>
    <w:rsid w:val="066F1813"/>
    <w:rsid w:val="066F6E3E"/>
    <w:rsid w:val="067A5F0E"/>
    <w:rsid w:val="06874187"/>
    <w:rsid w:val="06896151"/>
    <w:rsid w:val="068A3C77"/>
    <w:rsid w:val="068C79F0"/>
    <w:rsid w:val="068E19BA"/>
    <w:rsid w:val="06952D48"/>
    <w:rsid w:val="069B5E85"/>
    <w:rsid w:val="06A50AB1"/>
    <w:rsid w:val="06B17456"/>
    <w:rsid w:val="06C33D3B"/>
    <w:rsid w:val="06D73361"/>
    <w:rsid w:val="06DD024B"/>
    <w:rsid w:val="06E93094"/>
    <w:rsid w:val="06FA0DFD"/>
    <w:rsid w:val="06FC2DC7"/>
    <w:rsid w:val="06FC4B75"/>
    <w:rsid w:val="06FD08ED"/>
    <w:rsid w:val="070E6A0C"/>
    <w:rsid w:val="071023CF"/>
    <w:rsid w:val="0717375D"/>
    <w:rsid w:val="07267565"/>
    <w:rsid w:val="0728596A"/>
    <w:rsid w:val="07391FAF"/>
    <w:rsid w:val="073C31C4"/>
    <w:rsid w:val="07465DF0"/>
    <w:rsid w:val="0748600C"/>
    <w:rsid w:val="07707311"/>
    <w:rsid w:val="07750484"/>
    <w:rsid w:val="078C18B4"/>
    <w:rsid w:val="07944DAE"/>
    <w:rsid w:val="079C0106"/>
    <w:rsid w:val="07A07BF6"/>
    <w:rsid w:val="07A11279"/>
    <w:rsid w:val="07A20F5E"/>
    <w:rsid w:val="07AA2823"/>
    <w:rsid w:val="07AA45D1"/>
    <w:rsid w:val="07CF5DE6"/>
    <w:rsid w:val="07EF0236"/>
    <w:rsid w:val="080041F1"/>
    <w:rsid w:val="08144141"/>
    <w:rsid w:val="08206641"/>
    <w:rsid w:val="082500FC"/>
    <w:rsid w:val="08273E74"/>
    <w:rsid w:val="08406CE4"/>
    <w:rsid w:val="0845254C"/>
    <w:rsid w:val="08471E20"/>
    <w:rsid w:val="084F6F27"/>
    <w:rsid w:val="0853506F"/>
    <w:rsid w:val="085B58CB"/>
    <w:rsid w:val="0861256E"/>
    <w:rsid w:val="0865499C"/>
    <w:rsid w:val="086C7AD9"/>
    <w:rsid w:val="088968DD"/>
    <w:rsid w:val="0891753F"/>
    <w:rsid w:val="089808CE"/>
    <w:rsid w:val="089B216C"/>
    <w:rsid w:val="08B17BE1"/>
    <w:rsid w:val="08C6543B"/>
    <w:rsid w:val="08C760E4"/>
    <w:rsid w:val="08CE2541"/>
    <w:rsid w:val="08D107D5"/>
    <w:rsid w:val="08E12275"/>
    <w:rsid w:val="08E458C1"/>
    <w:rsid w:val="08E81855"/>
    <w:rsid w:val="08EB4EA1"/>
    <w:rsid w:val="08EE6740"/>
    <w:rsid w:val="08F301FA"/>
    <w:rsid w:val="09094905"/>
    <w:rsid w:val="090D25F9"/>
    <w:rsid w:val="09104908"/>
    <w:rsid w:val="091C32AD"/>
    <w:rsid w:val="092B7994"/>
    <w:rsid w:val="093305F6"/>
    <w:rsid w:val="0935611C"/>
    <w:rsid w:val="09385C0D"/>
    <w:rsid w:val="093A3733"/>
    <w:rsid w:val="09502F56"/>
    <w:rsid w:val="095347F5"/>
    <w:rsid w:val="095742E5"/>
    <w:rsid w:val="095A2027"/>
    <w:rsid w:val="095F763D"/>
    <w:rsid w:val="095F7F4C"/>
    <w:rsid w:val="0963712E"/>
    <w:rsid w:val="096B1B3E"/>
    <w:rsid w:val="096B4234"/>
    <w:rsid w:val="098B21E0"/>
    <w:rsid w:val="099A2423"/>
    <w:rsid w:val="09A432A2"/>
    <w:rsid w:val="09A60123"/>
    <w:rsid w:val="09AA4D5C"/>
    <w:rsid w:val="09AE75F4"/>
    <w:rsid w:val="09B259BF"/>
    <w:rsid w:val="09B90AFC"/>
    <w:rsid w:val="09B95F2A"/>
    <w:rsid w:val="09BC05EC"/>
    <w:rsid w:val="09C33728"/>
    <w:rsid w:val="09C645FB"/>
    <w:rsid w:val="09D122E9"/>
    <w:rsid w:val="09DC2A3C"/>
    <w:rsid w:val="09E244F6"/>
    <w:rsid w:val="09E57B43"/>
    <w:rsid w:val="0A0C7574"/>
    <w:rsid w:val="0A0D21C8"/>
    <w:rsid w:val="0A134092"/>
    <w:rsid w:val="0A161A89"/>
    <w:rsid w:val="0A1B3564"/>
    <w:rsid w:val="0A1D552E"/>
    <w:rsid w:val="0A2C751F"/>
    <w:rsid w:val="0A3463D4"/>
    <w:rsid w:val="0A375EC4"/>
    <w:rsid w:val="0A424E4D"/>
    <w:rsid w:val="0A424F95"/>
    <w:rsid w:val="0A4A209B"/>
    <w:rsid w:val="0A4C1970"/>
    <w:rsid w:val="0A590531"/>
    <w:rsid w:val="0A5D3B7D"/>
    <w:rsid w:val="0A83110A"/>
    <w:rsid w:val="0A932840"/>
    <w:rsid w:val="0A9E5F43"/>
    <w:rsid w:val="0A9E7CF1"/>
    <w:rsid w:val="0AA3355A"/>
    <w:rsid w:val="0AA51080"/>
    <w:rsid w:val="0AA55524"/>
    <w:rsid w:val="0AA7304A"/>
    <w:rsid w:val="0AB1211B"/>
    <w:rsid w:val="0ABA0FCF"/>
    <w:rsid w:val="0ABD461B"/>
    <w:rsid w:val="0AC61B02"/>
    <w:rsid w:val="0AD55E09"/>
    <w:rsid w:val="0AD656DD"/>
    <w:rsid w:val="0AD81455"/>
    <w:rsid w:val="0AE47DFA"/>
    <w:rsid w:val="0AF2106E"/>
    <w:rsid w:val="0AF82AC1"/>
    <w:rsid w:val="0B073AE9"/>
    <w:rsid w:val="0B2428ED"/>
    <w:rsid w:val="0B330D82"/>
    <w:rsid w:val="0B3A2110"/>
    <w:rsid w:val="0B3A5C6C"/>
    <w:rsid w:val="0B5036E2"/>
    <w:rsid w:val="0B5A4560"/>
    <w:rsid w:val="0B61144B"/>
    <w:rsid w:val="0B66533A"/>
    <w:rsid w:val="0B680A2B"/>
    <w:rsid w:val="0B6902FF"/>
    <w:rsid w:val="0B835865"/>
    <w:rsid w:val="0B84414D"/>
    <w:rsid w:val="0B907F82"/>
    <w:rsid w:val="0B93537C"/>
    <w:rsid w:val="0B9A6334"/>
    <w:rsid w:val="0BA02622"/>
    <w:rsid w:val="0BA23811"/>
    <w:rsid w:val="0BA96097"/>
    <w:rsid w:val="0BB73761"/>
    <w:rsid w:val="0BBF2615"/>
    <w:rsid w:val="0BC814CA"/>
    <w:rsid w:val="0BC83278"/>
    <w:rsid w:val="0BD46BAD"/>
    <w:rsid w:val="0BD47E6F"/>
    <w:rsid w:val="0BD95485"/>
    <w:rsid w:val="0BE04A65"/>
    <w:rsid w:val="0BE120B2"/>
    <w:rsid w:val="0BE45BD8"/>
    <w:rsid w:val="0BF202F5"/>
    <w:rsid w:val="0BF95B27"/>
    <w:rsid w:val="0BFA53FB"/>
    <w:rsid w:val="0C000C64"/>
    <w:rsid w:val="0C160487"/>
    <w:rsid w:val="0C193AD3"/>
    <w:rsid w:val="0C1E733C"/>
    <w:rsid w:val="0C2E0560"/>
    <w:rsid w:val="0C37664F"/>
    <w:rsid w:val="0C480B20"/>
    <w:rsid w:val="0C516EDE"/>
    <w:rsid w:val="0C517711"/>
    <w:rsid w:val="0C523489"/>
    <w:rsid w:val="0C550884"/>
    <w:rsid w:val="0C6805B7"/>
    <w:rsid w:val="0C6D2071"/>
    <w:rsid w:val="0C727688"/>
    <w:rsid w:val="0C7B478E"/>
    <w:rsid w:val="0C891DCE"/>
    <w:rsid w:val="0C945850"/>
    <w:rsid w:val="0C985340"/>
    <w:rsid w:val="0C9B346B"/>
    <w:rsid w:val="0CA33C7D"/>
    <w:rsid w:val="0CA57A5D"/>
    <w:rsid w:val="0CA76E0E"/>
    <w:rsid w:val="0CB35CD6"/>
    <w:rsid w:val="0CC223BD"/>
    <w:rsid w:val="0CC2416B"/>
    <w:rsid w:val="0CC47EE3"/>
    <w:rsid w:val="0CEC2F96"/>
    <w:rsid w:val="0CEC43CA"/>
    <w:rsid w:val="0CEF0CD8"/>
    <w:rsid w:val="0CF87B8D"/>
    <w:rsid w:val="0CFA3905"/>
    <w:rsid w:val="0D132C19"/>
    <w:rsid w:val="0D186481"/>
    <w:rsid w:val="0D2564A8"/>
    <w:rsid w:val="0D2941EA"/>
    <w:rsid w:val="0D2A1D10"/>
    <w:rsid w:val="0D2B7F62"/>
    <w:rsid w:val="0D4234FE"/>
    <w:rsid w:val="0D444B80"/>
    <w:rsid w:val="0D50431A"/>
    <w:rsid w:val="0D531267"/>
    <w:rsid w:val="0D553231"/>
    <w:rsid w:val="0D576FA9"/>
    <w:rsid w:val="0D5C636E"/>
    <w:rsid w:val="0D5D5C42"/>
    <w:rsid w:val="0D646FD0"/>
    <w:rsid w:val="0D6B76D4"/>
    <w:rsid w:val="0D6C40D7"/>
    <w:rsid w:val="0D712E27"/>
    <w:rsid w:val="0D7511DD"/>
    <w:rsid w:val="0D7B62FB"/>
    <w:rsid w:val="0D921D8F"/>
    <w:rsid w:val="0D961154"/>
    <w:rsid w:val="0DAE46EF"/>
    <w:rsid w:val="0DB461AA"/>
    <w:rsid w:val="0DBA12E6"/>
    <w:rsid w:val="0DD51C7C"/>
    <w:rsid w:val="0DDC74AE"/>
    <w:rsid w:val="0DE11BD9"/>
    <w:rsid w:val="0DED16BC"/>
    <w:rsid w:val="0DED5218"/>
    <w:rsid w:val="0DF624E0"/>
    <w:rsid w:val="0DF742E8"/>
    <w:rsid w:val="0DFC321E"/>
    <w:rsid w:val="0DFC36AD"/>
    <w:rsid w:val="0DFF319D"/>
    <w:rsid w:val="0E0D58BA"/>
    <w:rsid w:val="0E100F06"/>
    <w:rsid w:val="0E1048CA"/>
    <w:rsid w:val="0E107158"/>
    <w:rsid w:val="0E1529C0"/>
    <w:rsid w:val="0E216CB2"/>
    <w:rsid w:val="0E2B5D40"/>
    <w:rsid w:val="0E325320"/>
    <w:rsid w:val="0E346850"/>
    <w:rsid w:val="0E3F3599"/>
    <w:rsid w:val="0E404088"/>
    <w:rsid w:val="0E407A3D"/>
    <w:rsid w:val="0E4D3F08"/>
    <w:rsid w:val="0E4D5CB6"/>
    <w:rsid w:val="0E6A2D0C"/>
    <w:rsid w:val="0E7616B1"/>
    <w:rsid w:val="0E7771D7"/>
    <w:rsid w:val="0E813BB2"/>
    <w:rsid w:val="0E8C2C83"/>
    <w:rsid w:val="0E9B1118"/>
    <w:rsid w:val="0EA113FA"/>
    <w:rsid w:val="0EB21FBD"/>
    <w:rsid w:val="0EB43F87"/>
    <w:rsid w:val="0EB53450"/>
    <w:rsid w:val="0ECA11CC"/>
    <w:rsid w:val="0EDE1004"/>
    <w:rsid w:val="0EEA5750"/>
    <w:rsid w:val="0EEA5BFB"/>
    <w:rsid w:val="0EEA79A9"/>
    <w:rsid w:val="0EF75897"/>
    <w:rsid w:val="0EFB1BB6"/>
    <w:rsid w:val="0EFB5712"/>
    <w:rsid w:val="0EFD148A"/>
    <w:rsid w:val="0F056591"/>
    <w:rsid w:val="0F1A576B"/>
    <w:rsid w:val="0F1B5DB5"/>
    <w:rsid w:val="0F1C008B"/>
    <w:rsid w:val="0F20161D"/>
    <w:rsid w:val="0F2033CB"/>
    <w:rsid w:val="0F2411C8"/>
    <w:rsid w:val="0F362BEE"/>
    <w:rsid w:val="0F390E8E"/>
    <w:rsid w:val="0F4470B9"/>
    <w:rsid w:val="0F582B65"/>
    <w:rsid w:val="0F6239E3"/>
    <w:rsid w:val="0F625791"/>
    <w:rsid w:val="0F680C0A"/>
    <w:rsid w:val="0F6C6610"/>
    <w:rsid w:val="0F6F1FC8"/>
    <w:rsid w:val="0F7B4AA5"/>
    <w:rsid w:val="0F8120BC"/>
    <w:rsid w:val="0F8B118C"/>
    <w:rsid w:val="0F8F57EF"/>
    <w:rsid w:val="0F977B31"/>
    <w:rsid w:val="0F9A13CF"/>
    <w:rsid w:val="0F9F0794"/>
    <w:rsid w:val="0FB26719"/>
    <w:rsid w:val="0FBC1346"/>
    <w:rsid w:val="0FCA5EAD"/>
    <w:rsid w:val="0FE32D76"/>
    <w:rsid w:val="0FE73EE9"/>
    <w:rsid w:val="0FF97625"/>
    <w:rsid w:val="10041431"/>
    <w:rsid w:val="1018304A"/>
    <w:rsid w:val="101F3682"/>
    <w:rsid w:val="102B4703"/>
    <w:rsid w:val="102E5E48"/>
    <w:rsid w:val="1030763E"/>
    <w:rsid w:val="10345380"/>
    <w:rsid w:val="103C4234"/>
    <w:rsid w:val="105B0B5E"/>
    <w:rsid w:val="10790FE5"/>
    <w:rsid w:val="10795489"/>
    <w:rsid w:val="107C0AD5"/>
    <w:rsid w:val="107C4E2A"/>
    <w:rsid w:val="10806817"/>
    <w:rsid w:val="109E4EEF"/>
    <w:rsid w:val="10B169D0"/>
    <w:rsid w:val="10BB784F"/>
    <w:rsid w:val="10DB3A4D"/>
    <w:rsid w:val="10DD5A17"/>
    <w:rsid w:val="10E741A0"/>
    <w:rsid w:val="10F60887"/>
    <w:rsid w:val="10F845FF"/>
    <w:rsid w:val="10F93ED3"/>
    <w:rsid w:val="110475FD"/>
    <w:rsid w:val="110765F0"/>
    <w:rsid w:val="110E5BD1"/>
    <w:rsid w:val="110F7B9B"/>
    <w:rsid w:val="11145FBB"/>
    <w:rsid w:val="112F78F5"/>
    <w:rsid w:val="113601B9"/>
    <w:rsid w:val="11477335"/>
    <w:rsid w:val="114B3E5E"/>
    <w:rsid w:val="114C04A7"/>
    <w:rsid w:val="11573496"/>
    <w:rsid w:val="11673533"/>
    <w:rsid w:val="116752E1"/>
    <w:rsid w:val="116E48C1"/>
    <w:rsid w:val="1170063A"/>
    <w:rsid w:val="11820B13"/>
    <w:rsid w:val="119066D9"/>
    <w:rsid w:val="11963E18"/>
    <w:rsid w:val="119A56B6"/>
    <w:rsid w:val="119B4D4D"/>
    <w:rsid w:val="119B4F8B"/>
    <w:rsid w:val="11A335B5"/>
    <w:rsid w:val="11A402E3"/>
    <w:rsid w:val="11A976A8"/>
    <w:rsid w:val="11C52008"/>
    <w:rsid w:val="11C73FD2"/>
    <w:rsid w:val="11D5776D"/>
    <w:rsid w:val="11D64215"/>
    <w:rsid w:val="11D84431"/>
    <w:rsid w:val="11E06E41"/>
    <w:rsid w:val="11E22BBA"/>
    <w:rsid w:val="11E93F48"/>
    <w:rsid w:val="11F12DFD"/>
    <w:rsid w:val="11F924CF"/>
    <w:rsid w:val="121216F1"/>
    <w:rsid w:val="1219428E"/>
    <w:rsid w:val="121D3BF2"/>
    <w:rsid w:val="12437AFC"/>
    <w:rsid w:val="12455238"/>
    <w:rsid w:val="1246139A"/>
    <w:rsid w:val="12463148"/>
    <w:rsid w:val="12492C39"/>
    <w:rsid w:val="126B2BAF"/>
    <w:rsid w:val="12706417"/>
    <w:rsid w:val="127759F8"/>
    <w:rsid w:val="1283614B"/>
    <w:rsid w:val="129369C7"/>
    <w:rsid w:val="12993BC0"/>
    <w:rsid w:val="12A7355D"/>
    <w:rsid w:val="12B10F0A"/>
    <w:rsid w:val="12B74046"/>
    <w:rsid w:val="12CA1FCB"/>
    <w:rsid w:val="12CC7AF2"/>
    <w:rsid w:val="12CD73C6"/>
    <w:rsid w:val="12D44BF8"/>
    <w:rsid w:val="12EB3CF0"/>
    <w:rsid w:val="12F6524A"/>
    <w:rsid w:val="13021765"/>
    <w:rsid w:val="13037AFF"/>
    <w:rsid w:val="13180F89"/>
    <w:rsid w:val="131E2317"/>
    <w:rsid w:val="13225964"/>
    <w:rsid w:val="132F1E2E"/>
    <w:rsid w:val="13433B2C"/>
    <w:rsid w:val="13490C7D"/>
    <w:rsid w:val="13545D39"/>
    <w:rsid w:val="135C3D02"/>
    <w:rsid w:val="13622204"/>
    <w:rsid w:val="13637D2A"/>
    <w:rsid w:val="13712447"/>
    <w:rsid w:val="137666E0"/>
    <w:rsid w:val="13871C6A"/>
    <w:rsid w:val="13873A19"/>
    <w:rsid w:val="139A637E"/>
    <w:rsid w:val="13A10F7E"/>
    <w:rsid w:val="13B50586"/>
    <w:rsid w:val="13C609E5"/>
    <w:rsid w:val="13D11138"/>
    <w:rsid w:val="13D44784"/>
    <w:rsid w:val="13DD188A"/>
    <w:rsid w:val="13DF1AA7"/>
    <w:rsid w:val="13ED41C3"/>
    <w:rsid w:val="13EE3A98"/>
    <w:rsid w:val="14027543"/>
    <w:rsid w:val="140E7C96"/>
    <w:rsid w:val="14101C60"/>
    <w:rsid w:val="141379A2"/>
    <w:rsid w:val="14184FB8"/>
    <w:rsid w:val="1424570B"/>
    <w:rsid w:val="14264FE0"/>
    <w:rsid w:val="142B4CEC"/>
    <w:rsid w:val="14353475"/>
    <w:rsid w:val="143A4F2F"/>
    <w:rsid w:val="144B2C98"/>
    <w:rsid w:val="145E6E6F"/>
    <w:rsid w:val="1461426A"/>
    <w:rsid w:val="14661880"/>
    <w:rsid w:val="146C2B22"/>
    <w:rsid w:val="14733F9D"/>
    <w:rsid w:val="14795A57"/>
    <w:rsid w:val="14812B5E"/>
    <w:rsid w:val="14824C8F"/>
    <w:rsid w:val="148461AA"/>
    <w:rsid w:val="148D32B1"/>
    <w:rsid w:val="14B04F4C"/>
    <w:rsid w:val="14B64A8D"/>
    <w:rsid w:val="14CF38C9"/>
    <w:rsid w:val="14D013EF"/>
    <w:rsid w:val="14D7452C"/>
    <w:rsid w:val="14D94748"/>
    <w:rsid w:val="14E1184E"/>
    <w:rsid w:val="14E27C21"/>
    <w:rsid w:val="14E8498B"/>
    <w:rsid w:val="14E951B7"/>
    <w:rsid w:val="14FC21E4"/>
    <w:rsid w:val="15064E11"/>
    <w:rsid w:val="151702A5"/>
    <w:rsid w:val="15192D96"/>
    <w:rsid w:val="15237771"/>
    <w:rsid w:val="15363948"/>
    <w:rsid w:val="153951E6"/>
    <w:rsid w:val="153B2049"/>
    <w:rsid w:val="15451DDD"/>
    <w:rsid w:val="15581B10"/>
    <w:rsid w:val="15614DA8"/>
    <w:rsid w:val="156758B0"/>
    <w:rsid w:val="156A53A0"/>
    <w:rsid w:val="157B57FF"/>
    <w:rsid w:val="15806971"/>
    <w:rsid w:val="158A5A42"/>
    <w:rsid w:val="159D39C7"/>
    <w:rsid w:val="15AC7766"/>
    <w:rsid w:val="15AD79BC"/>
    <w:rsid w:val="15B11221"/>
    <w:rsid w:val="15B4486D"/>
    <w:rsid w:val="15BE749A"/>
    <w:rsid w:val="15C076B6"/>
    <w:rsid w:val="15C36A6F"/>
    <w:rsid w:val="15C54CCC"/>
    <w:rsid w:val="15D60C87"/>
    <w:rsid w:val="15DD2016"/>
    <w:rsid w:val="15E213DA"/>
    <w:rsid w:val="15E84B86"/>
    <w:rsid w:val="15F1786F"/>
    <w:rsid w:val="1602382A"/>
    <w:rsid w:val="16066864"/>
    <w:rsid w:val="16094BB9"/>
    <w:rsid w:val="160E0421"/>
    <w:rsid w:val="163634D4"/>
    <w:rsid w:val="16380A5A"/>
    <w:rsid w:val="163A2FC4"/>
    <w:rsid w:val="163D2AB4"/>
    <w:rsid w:val="1642631D"/>
    <w:rsid w:val="16571DC8"/>
    <w:rsid w:val="16663DB9"/>
    <w:rsid w:val="16667FF6"/>
    <w:rsid w:val="16685D83"/>
    <w:rsid w:val="16730284"/>
    <w:rsid w:val="167A7865"/>
    <w:rsid w:val="167D7355"/>
    <w:rsid w:val="16893F4C"/>
    <w:rsid w:val="16924BAE"/>
    <w:rsid w:val="16991EF7"/>
    <w:rsid w:val="169D08E8"/>
    <w:rsid w:val="169D3553"/>
    <w:rsid w:val="169E79F7"/>
    <w:rsid w:val="16B54D41"/>
    <w:rsid w:val="16B8213B"/>
    <w:rsid w:val="16D40DE1"/>
    <w:rsid w:val="16D50F3F"/>
    <w:rsid w:val="16D8458B"/>
    <w:rsid w:val="16DA6622"/>
    <w:rsid w:val="16E178E4"/>
    <w:rsid w:val="16E6314C"/>
    <w:rsid w:val="16E66CA8"/>
    <w:rsid w:val="16EF2001"/>
    <w:rsid w:val="172779EC"/>
    <w:rsid w:val="17365E81"/>
    <w:rsid w:val="173850A7"/>
    <w:rsid w:val="1739327C"/>
    <w:rsid w:val="174165D4"/>
    <w:rsid w:val="17481711"/>
    <w:rsid w:val="174C0AC9"/>
    <w:rsid w:val="176A78D9"/>
    <w:rsid w:val="176F4EEF"/>
    <w:rsid w:val="177B4CDC"/>
    <w:rsid w:val="179B5CE4"/>
    <w:rsid w:val="17BA7FA6"/>
    <w:rsid w:val="17BE7C25"/>
    <w:rsid w:val="17C3523B"/>
    <w:rsid w:val="17E94CA2"/>
    <w:rsid w:val="17EF6030"/>
    <w:rsid w:val="1807337A"/>
    <w:rsid w:val="180B10BC"/>
    <w:rsid w:val="18133ACD"/>
    <w:rsid w:val="18167A61"/>
    <w:rsid w:val="1824217E"/>
    <w:rsid w:val="18243F2C"/>
    <w:rsid w:val="182C4B8E"/>
    <w:rsid w:val="182E6B59"/>
    <w:rsid w:val="183323C1"/>
    <w:rsid w:val="183D4FEE"/>
    <w:rsid w:val="184243B2"/>
    <w:rsid w:val="184620F4"/>
    <w:rsid w:val="184E2D57"/>
    <w:rsid w:val="185D743E"/>
    <w:rsid w:val="185F6D12"/>
    <w:rsid w:val="18644328"/>
    <w:rsid w:val="187C5B16"/>
    <w:rsid w:val="187D53EA"/>
    <w:rsid w:val="1881312C"/>
    <w:rsid w:val="18950986"/>
    <w:rsid w:val="189D5A8C"/>
    <w:rsid w:val="189D7C56"/>
    <w:rsid w:val="18A64941"/>
    <w:rsid w:val="18C13529"/>
    <w:rsid w:val="18CB050B"/>
    <w:rsid w:val="18CB25F9"/>
    <w:rsid w:val="18CD0120"/>
    <w:rsid w:val="18CD6371"/>
    <w:rsid w:val="18CE20EA"/>
    <w:rsid w:val="18D92F68"/>
    <w:rsid w:val="18DC4807"/>
    <w:rsid w:val="18EE62E8"/>
    <w:rsid w:val="18F97167"/>
    <w:rsid w:val="1917583F"/>
    <w:rsid w:val="192341E3"/>
    <w:rsid w:val="19287A4C"/>
    <w:rsid w:val="192B2CC7"/>
    <w:rsid w:val="1932529B"/>
    <w:rsid w:val="19341F4D"/>
    <w:rsid w:val="193957B5"/>
    <w:rsid w:val="194859F8"/>
    <w:rsid w:val="197D7D98"/>
    <w:rsid w:val="19874772"/>
    <w:rsid w:val="198B1495"/>
    <w:rsid w:val="198D78AF"/>
    <w:rsid w:val="19902F5E"/>
    <w:rsid w:val="19921369"/>
    <w:rsid w:val="19966010"/>
    <w:rsid w:val="1997486D"/>
    <w:rsid w:val="19A30E80"/>
    <w:rsid w:val="19AA0461"/>
    <w:rsid w:val="19AF7825"/>
    <w:rsid w:val="19B25567"/>
    <w:rsid w:val="19B27315"/>
    <w:rsid w:val="19B72B7E"/>
    <w:rsid w:val="19C77265"/>
    <w:rsid w:val="19CF0004"/>
    <w:rsid w:val="19D90D46"/>
    <w:rsid w:val="19DE635C"/>
    <w:rsid w:val="19E00326"/>
    <w:rsid w:val="1A00092C"/>
    <w:rsid w:val="1A1E49AB"/>
    <w:rsid w:val="1A3B37AF"/>
    <w:rsid w:val="1A501008"/>
    <w:rsid w:val="1A512FD2"/>
    <w:rsid w:val="1A5B79AD"/>
    <w:rsid w:val="1A606D71"/>
    <w:rsid w:val="1A644AB4"/>
    <w:rsid w:val="1A6C248D"/>
    <w:rsid w:val="1A6C3968"/>
    <w:rsid w:val="1A6E76E0"/>
    <w:rsid w:val="1A9B5FFB"/>
    <w:rsid w:val="1AA56ACE"/>
    <w:rsid w:val="1AC55BC3"/>
    <w:rsid w:val="1AC76DF0"/>
    <w:rsid w:val="1AD02149"/>
    <w:rsid w:val="1AD734D7"/>
    <w:rsid w:val="1AD87250"/>
    <w:rsid w:val="1ADC0AEE"/>
    <w:rsid w:val="1AE159B8"/>
    <w:rsid w:val="1AE31E7C"/>
    <w:rsid w:val="1AE6371B"/>
    <w:rsid w:val="1AF45622"/>
    <w:rsid w:val="1AF8344E"/>
    <w:rsid w:val="1B0342CC"/>
    <w:rsid w:val="1B040045"/>
    <w:rsid w:val="1B097409"/>
    <w:rsid w:val="1B177D78"/>
    <w:rsid w:val="1B267FBB"/>
    <w:rsid w:val="1B285AE1"/>
    <w:rsid w:val="1B2F50C2"/>
    <w:rsid w:val="1B3501FE"/>
    <w:rsid w:val="1B414DF5"/>
    <w:rsid w:val="1B46065D"/>
    <w:rsid w:val="1B520DB0"/>
    <w:rsid w:val="1B532AED"/>
    <w:rsid w:val="1B5A7D5C"/>
    <w:rsid w:val="1B5E7755"/>
    <w:rsid w:val="1B650AE3"/>
    <w:rsid w:val="1B6D7998"/>
    <w:rsid w:val="1B6F3710"/>
    <w:rsid w:val="1B701236"/>
    <w:rsid w:val="1B7725C5"/>
    <w:rsid w:val="1B7B26E1"/>
    <w:rsid w:val="1B7C5E2D"/>
    <w:rsid w:val="1B803B6F"/>
    <w:rsid w:val="1B8B42C2"/>
    <w:rsid w:val="1B950C9D"/>
    <w:rsid w:val="1B965141"/>
    <w:rsid w:val="1B9E5DA3"/>
    <w:rsid w:val="1BA15893"/>
    <w:rsid w:val="1BA17641"/>
    <w:rsid w:val="1BB27AA1"/>
    <w:rsid w:val="1BBB2F90"/>
    <w:rsid w:val="1BC021BE"/>
    <w:rsid w:val="1BC21315"/>
    <w:rsid w:val="1BC53330"/>
    <w:rsid w:val="1BCD48DA"/>
    <w:rsid w:val="1BD25A4D"/>
    <w:rsid w:val="1BF43C15"/>
    <w:rsid w:val="1BF754B3"/>
    <w:rsid w:val="1BFB1448"/>
    <w:rsid w:val="1BFC2F54"/>
    <w:rsid w:val="1C053F8F"/>
    <w:rsid w:val="1C1918CE"/>
    <w:rsid w:val="1C1A0C17"/>
    <w:rsid w:val="1C1D316C"/>
    <w:rsid w:val="1C1F5136"/>
    <w:rsid w:val="1C2838BF"/>
    <w:rsid w:val="1C29338A"/>
    <w:rsid w:val="1C2A5889"/>
    <w:rsid w:val="1C2F10F1"/>
    <w:rsid w:val="1C32741A"/>
    <w:rsid w:val="1C387FA6"/>
    <w:rsid w:val="1C3D55BC"/>
    <w:rsid w:val="1C3F0B4C"/>
    <w:rsid w:val="1C405AE5"/>
    <w:rsid w:val="1C47468D"/>
    <w:rsid w:val="1C5E5533"/>
    <w:rsid w:val="1C60673F"/>
    <w:rsid w:val="1C662D65"/>
    <w:rsid w:val="1C69015F"/>
    <w:rsid w:val="1C71170A"/>
    <w:rsid w:val="1C7134B8"/>
    <w:rsid w:val="1C827473"/>
    <w:rsid w:val="1CA15803"/>
    <w:rsid w:val="1CA473E9"/>
    <w:rsid w:val="1CAB69CA"/>
    <w:rsid w:val="1CB22D3B"/>
    <w:rsid w:val="1CB533A4"/>
    <w:rsid w:val="1CB810E7"/>
    <w:rsid w:val="1CBB4733"/>
    <w:rsid w:val="1CC25AC1"/>
    <w:rsid w:val="1CD75A11"/>
    <w:rsid w:val="1CDA105D"/>
    <w:rsid w:val="1CEB14BC"/>
    <w:rsid w:val="1CF540E9"/>
    <w:rsid w:val="1CF814E3"/>
    <w:rsid w:val="1D036806"/>
    <w:rsid w:val="1D0460DA"/>
    <w:rsid w:val="1D085BCA"/>
    <w:rsid w:val="1D0E0D07"/>
    <w:rsid w:val="1D1C3424"/>
    <w:rsid w:val="1D244763"/>
    <w:rsid w:val="1D2B18B9"/>
    <w:rsid w:val="1D2E13A9"/>
    <w:rsid w:val="1D303373"/>
    <w:rsid w:val="1D44297A"/>
    <w:rsid w:val="1D474DEC"/>
    <w:rsid w:val="1D5726AE"/>
    <w:rsid w:val="1D6B6159"/>
    <w:rsid w:val="1D765EE5"/>
    <w:rsid w:val="1D882867"/>
    <w:rsid w:val="1D960483"/>
    <w:rsid w:val="1DA11B7B"/>
    <w:rsid w:val="1DA5166B"/>
    <w:rsid w:val="1DA67191"/>
    <w:rsid w:val="1DA8115B"/>
    <w:rsid w:val="1DB16262"/>
    <w:rsid w:val="1DB63878"/>
    <w:rsid w:val="1DCA10D2"/>
    <w:rsid w:val="1DCF493A"/>
    <w:rsid w:val="1DF15284"/>
    <w:rsid w:val="1E002D45"/>
    <w:rsid w:val="1E01086B"/>
    <w:rsid w:val="1E012619"/>
    <w:rsid w:val="1E0F670C"/>
    <w:rsid w:val="1E110AAE"/>
    <w:rsid w:val="1E116D00"/>
    <w:rsid w:val="1E1467F1"/>
    <w:rsid w:val="1E234C86"/>
    <w:rsid w:val="1E2C0141"/>
    <w:rsid w:val="1E366767"/>
    <w:rsid w:val="1E4F15D7"/>
    <w:rsid w:val="1E516B95"/>
    <w:rsid w:val="1E71779F"/>
    <w:rsid w:val="1E7B6870"/>
    <w:rsid w:val="1E8079E2"/>
    <w:rsid w:val="1E8219AC"/>
    <w:rsid w:val="1E8A260F"/>
    <w:rsid w:val="1E8F7C25"/>
    <w:rsid w:val="1E967206"/>
    <w:rsid w:val="1E990AA4"/>
    <w:rsid w:val="1EA07BBC"/>
    <w:rsid w:val="1EA5569B"/>
    <w:rsid w:val="1EAE454F"/>
    <w:rsid w:val="1EB63404"/>
    <w:rsid w:val="1EB649D8"/>
    <w:rsid w:val="1EBB6C6C"/>
    <w:rsid w:val="1EC0236C"/>
    <w:rsid w:val="1ECB3353"/>
    <w:rsid w:val="1ECB5101"/>
    <w:rsid w:val="1ECC2C27"/>
    <w:rsid w:val="1ECE4BF1"/>
    <w:rsid w:val="1EE00215"/>
    <w:rsid w:val="1EE05EE9"/>
    <w:rsid w:val="1F100D66"/>
    <w:rsid w:val="1F1437EE"/>
    <w:rsid w:val="1F171CFB"/>
    <w:rsid w:val="1F262338"/>
    <w:rsid w:val="1F274302"/>
    <w:rsid w:val="1F30765A"/>
    <w:rsid w:val="1F332CA6"/>
    <w:rsid w:val="1F394761"/>
    <w:rsid w:val="1F3C13B6"/>
    <w:rsid w:val="1F3D58D3"/>
    <w:rsid w:val="1F3F5AEF"/>
    <w:rsid w:val="1F42113B"/>
    <w:rsid w:val="1F422EEA"/>
    <w:rsid w:val="1F4849A4"/>
    <w:rsid w:val="1F4948B4"/>
    <w:rsid w:val="1F4B49D6"/>
    <w:rsid w:val="1F4B6242"/>
    <w:rsid w:val="1F550E6F"/>
    <w:rsid w:val="1F5C3FAB"/>
    <w:rsid w:val="1F6B41EE"/>
    <w:rsid w:val="1F721A21"/>
    <w:rsid w:val="1F745799"/>
    <w:rsid w:val="1F8F25D3"/>
    <w:rsid w:val="1FB5190D"/>
    <w:rsid w:val="1FC3227C"/>
    <w:rsid w:val="1FC35DD8"/>
    <w:rsid w:val="1FD46237"/>
    <w:rsid w:val="1FDC3F0E"/>
    <w:rsid w:val="1FF16DE9"/>
    <w:rsid w:val="1FF561AE"/>
    <w:rsid w:val="1FF57F5C"/>
    <w:rsid w:val="1FF85069"/>
    <w:rsid w:val="1FF97A4C"/>
    <w:rsid w:val="1FFE7559"/>
    <w:rsid w:val="20120B0E"/>
    <w:rsid w:val="2020322B"/>
    <w:rsid w:val="20280331"/>
    <w:rsid w:val="202D1DEC"/>
    <w:rsid w:val="202D5948"/>
    <w:rsid w:val="2039253E"/>
    <w:rsid w:val="204131A1"/>
    <w:rsid w:val="20450EE3"/>
    <w:rsid w:val="20515ADA"/>
    <w:rsid w:val="20541126"/>
    <w:rsid w:val="20542874"/>
    <w:rsid w:val="20686980"/>
    <w:rsid w:val="207D242B"/>
    <w:rsid w:val="20825C93"/>
    <w:rsid w:val="20831A0C"/>
    <w:rsid w:val="20844309"/>
    <w:rsid w:val="208C08C0"/>
    <w:rsid w:val="208D63E6"/>
    <w:rsid w:val="2091237A"/>
    <w:rsid w:val="20AC4ABE"/>
    <w:rsid w:val="20C462AC"/>
    <w:rsid w:val="20C81854"/>
    <w:rsid w:val="20D61B3B"/>
    <w:rsid w:val="20D83B05"/>
    <w:rsid w:val="20F41885"/>
    <w:rsid w:val="20FA3A7C"/>
    <w:rsid w:val="20FD356C"/>
    <w:rsid w:val="21244F9D"/>
    <w:rsid w:val="212B00D9"/>
    <w:rsid w:val="212B632B"/>
    <w:rsid w:val="214E3DC8"/>
    <w:rsid w:val="2157370B"/>
    <w:rsid w:val="215D400B"/>
    <w:rsid w:val="21611D4D"/>
    <w:rsid w:val="216830DB"/>
    <w:rsid w:val="216B497A"/>
    <w:rsid w:val="217355DC"/>
    <w:rsid w:val="217575A6"/>
    <w:rsid w:val="21815F4B"/>
    <w:rsid w:val="21845A3B"/>
    <w:rsid w:val="218C733C"/>
    <w:rsid w:val="219739C1"/>
    <w:rsid w:val="2197751D"/>
    <w:rsid w:val="21993B18"/>
    <w:rsid w:val="21AB2FC8"/>
    <w:rsid w:val="21AD4F92"/>
    <w:rsid w:val="21C127EB"/>
    <w:rsid w:val="21C347B6"/>
    <w:rsid w:val="21C81DCC"/>
    <w:rsid w:val="21C847FC"/>
    <w:rsid w:val="21C978F2"/>
    <w:rsid w:val="21D97B35"/>
    <w:rsid w:val="21EE1107"/>
    <w:rsid w:val="21FC3824"/>
    <w:rsid w:val="22031056"/>
    <w:rsid w:val="22097CEF"/>
    <w:rsid w:val="220B1CB9"/>
    <w:rsid w:val="2217065D"/>
    <w:rsid w:val="22280ABD"/>
    <w:rsid w:val="222F59A7"/>
    <w:rsid w:val="223E208E"/>
    <w:rsid w:val="22464B8D"/>
    <w:rsid w:val="22482F0D"/>
    <w:rsid w:val="224D407F"/>
    <w:rsid w:val="22561186"/>
    <w:rsid w:val="226A69DF"/>
    <w:rsid w:val="226F3FF6"/>
    <w:rsid w:val="227028F7"/>
    <w:rsid w:val="227E692E"/>
    <w:rsid w:val="22853819"/>
    <w:rsid w:val="228D0920"/>
    <w:rsid w:val="229A201B"/>
    <w:rsid w:val="229C09BC"/>
    <w:rsid w:val="22A00653"/>
    <w:rsid w:val="22A2261D"/>
    <w:rsid w:val="22A75E85"/>
    <w:rsid w:val="22A85759"/>
    <w:rsid w:val="22AC6FF8"/>
    <w:rsid w:val="22B42350"/>
    <w:rsid w:val="22B440FE"/>
    <w:rsid w:val="22BDFA33"/>
    <w:rsid w:val="22C24A6D"/>
    <w:rsid w:val="22C407E5"/>
    <w:rsid w:val="22CF071A"/>
    <w:rsid w:val="22E542B8"/>
    <w:rsid w:val="22EF5136"/>
    <w:rsid w:val="22F0182A"/>
    <w:rsid w:val="22F10EAE"/>
    <w:rsid w:val="23016F7A"/>
    <w:rsid w:val="230230BC"/>
    <w:rsid w:val="230E1A60"/>
    <w:rsid w:val="232C638A"/>
    <w:rsid w:val="23307C29"/>
    <w:rsid w:val="23353491"/>
    <w:rsid w:val="233C3329"/>
    <w:rsid w:val="233F60BE"/>
    <w:rsid w:val="234436D4"/>
    <w:rsid w:val="23571659"/>
    <w:rsid w:val="236E2F6E"/>
    <w:rsid w:val="23735D67"/>
    <w:rsid w:val="2376267A"/>
    <w:rsid w:val="238B1303"/>
    <w:rsid w:val="238C0BD7"/>
    <w:rsid w:val="239006C7"/>
    <w:rsid w:val="2392443F"/>
    <w:rsid w:val="239301B8"/>
    <w:rsid w:val="2393640A"/>
    <w:rsid w:val="239974D6"/>
    <w:rsid w:val="23A221A9"/>
    <w:rsid w:val="23C91E2B"/>
    <w:rsid w:val="23D031BA"/>
    <w:rsid w:val="23D04F68"/>
    <w:rsid w:val="23E266D0"/>
    <w:rsid w:val="23E40A13"/>
    <w:rsid w:val="23E4618A"/>
    <w:rsid w:val="23E97DD8"/>
    <w:rsid w:val="23ED78C8"/>
    <w:rsid w:val="23EE3640"/>
    <w:rsid w:val="240D3AC6"/>
    <w:rsid w:val="24101F8A"/>
    <w:rsid w:val="24191BAC"/>
    <w:rsid w:val="241E7886"/>
    <w:rsid w:val="24247062"/>
    <w:rsid w:val="242552B4"/>
    <w:rsid w:val="24262DDA"/>
    <w:rsid w:val="24264B88"/>
    <w:rsid w:val="24305A06"/>
    <w:rsid w:val="24377DF9"/>
    <w:rsid w:val="243F3E9B"/>
    <w:rsid w:val="24417C14"/>
    <w:rsid w:val="244E3D8C"/>
    <w:rsid w:val="245C67FB"/>
    <w:rsid w:val="246102B6"/>
    <w:rsid w:val="247E49C4"/>
    <w:rsid w:val="249E0BC2"/>
    <w:rsid w:val="24A02B8C"/>
    <w:rsid w:val="24A57065"/>
    <w:rsid w:val="24A85EE5"/>
    <w:rsid w:val="24B14D99"/>
    <w:rsid w:val="24B335CE"/>
    <w:rsid w:val="24CA5E5B"/>
    <w:rsid w:val="24CE594B"/>
    <w:rsid w:val="24CF7171"/>
    <w:rsid w:val="24D6035C"/>
    <w:rsid w:val="24D665AE"/>
    <w:rsid w:val="24D91E5B"/>
    <w:rsid w:val="24E707BB"/>
    <w:rsid w:val="24E8008F"/>
    <w:rsid w:val="24EE7D9B"/>
    <w:rsid w:val="24EF7670"/>
    <w:rsid w:val="2513335E"/>
    <w:rsid w:val="252C74BE"/>
    <w:rsid w:val="253432D4"/>
    <w:rsid w:val="25585215"/>
    <w:rsid w:val="255F65A3"/>
    <w:rsid w:val="2564005E"/>
    <w:rsid w:val="25703CBF"/>
    <w:rsid w:val="2584600A"/>
    <w:rsid w:val="2593624D"/>
    <w:rsid w:val="25A641D2"/>
    <w:rsid w:val="25AE752B"/>
    <w:rsid w:val="25B6018D"/>
    <w:rsid w:val="25BC39F6"/>
    <w:rsid w:val="25C603D0"/>
    <w:rsid w:val="25CC174F"/>
    <w:rsid w:val="25D56865"/>
    <w:rsid w:val="25DB44C1"/>
    <w:rsid w:val="25DD396C"/>
    <w:rsid w:val="25E1520A"/>
    <w:rsid w:val="25E22D30"/>
    <w:rsid w:val="25E82A3D"/>
    <w:rsid w:val="25EF0E4B"/>
    <w:rsid w:val="25F42076"/>
    <w:rsid w:val="260809E9"/>
    <w:rsid w:val="260E1D77"/>
    <w:rsid w:val="261C26E6"/>
    <w:rsid w:val="26235823"/>
    <w:rsid w:val="262B46D7"/>
    <w:rsid w:val="263B7010"/>
    <w:rsid w:val="26435EC5"/>
    <w:rsid w:val="264A7253"/>
    <w:rsid w:val="2652435A"/>
    <w:rsid w:val="2657371E"/>
    <w:rsid w:val="265E2CFF"/>
    <w:rsid w:val="26683828"/>
    <w:rsid w:val="266F0A68"/>
    <w:rsid w:val="267918E7"/>
    <w:rsid w:val="26793695"/>
    <w:rsid w:val="267D0BF4"/>
    <w:rsid w:val="267E6EFD"/>
    <w:rsid w:val="268362C1"/>
    <w:rsid w:val="269009DE"/>
    <w:rsid w:val="269C26E3"/>
    <w:rsid w:val="269E759F"/>
    <w:rsid w:val="26A07F46"/>
    <w:rsid w:val="26AB5818"/>
    <w:rsid w:val="26C16DEA"/>
    <w:rsid w:val="26D66D39"/>
    <w:rsid w:val="26DB60FD"/>
    <w:rsid w:val="26DE174A"/>
    <w:rsid w:val="26E054C2"/>
    <w:rsid w:val="26EF3957"/>
    <w:rsid w:val="26F176CF"/>
    <w:rsid w:val="26FC6074"/>
    <w:rsid w:val="27001EC8"/>
    <w:rsid w:val="27264780"/>
    <w:rsid w:val="272E2D63"/>
    <w:rsid w:val="27363334"/>
    <w:rsid w:val="27391076"/>
    <w:rsid w:val="27410CB9"/>
    <w:rsid w:val="274C2B57"/>
    <w:rsid w:val="275D2FB6"/>
    <w:rsid w:val="276D441A"/>
    <w:rsid w:val="27800A53"/>
    <w:rsid w:val="27806CA5"/>
    <w:rsid w:val="27871DE1"/>
    <w:rsid w:val="278926E3"/>
    <w:rsid w:val="278A3680"/>
    <w:rsid w:val="27932534"/>
    <w:rsid w:val="279A5DB4"/>
    <w:rsid w:val="279F537D"/>
    <w:rsid w:val="27A504B9"/>
    <w:rsid w:val="27B30E28"/>
    <w:rsid w:val="27B32BD6"/>
    <w:rsid w:val="27C941A8"/>
    <w:rsid w:val="27CC3BC0"/>
    <w:rsid w:val="27CE17BE"/>
    <w:rsid w:val="27D05536"/>
    <w:rsid w:val="27E56B08"/>
    <w:rsid w:val="27F31225"/>
    <w:rsid w:val="27FF5E1C"/>
    <w:rsid w:val="281E2746"/>
    <w:rsid w:val="28243AD4"/>
    <w:rsid w:val="282615FA"/>
    <w:rsid w:val="282633A8"/>
    <w:rsid w:val="282D2989"/>
    <w:rsid w:val="283261F1"/>
    <w:rsid w:val="28357A8F"/>
    <w:rsid w:val="283B40D1"/>
    <w:rsid w:val="284C65D8"/>
    <w:rsid w:val="2861396F"/>
    <w:rsid w:val="287E4F92"/>
    <w:rsid w:val="28810F26"/>
    <w:rsid w:val="288325A9"/>
    <w:rsid w:val="28942A08"/>
    <w:rsid w:val="289724F8"/>
    <w:rsid w:val="28A6273B"/>
    <w:rsid w:val="28A95D87"/>
    <w:rsid w:val="28AB1AFF"/>
    <w:rsid w:val="28B44010"/>
    <w:rsid w:val="28B44E58"/>
    <w:rsid w:val="28B5472C"/>
    <w:rsid w:val="28C66939"/>
    <w:rsid w:val="28CC03F4"/>
    <w:rsid w:val="28DE1ED5"/>
    <w:rsid w:val="28FE4325"/>
    <w:rsid w:val="2903193C"/>
    <w:rsid w:val="29176F41"/>
    <w:rsid w:val="29183639"/>
    <w:rsid w:val="29220014"/>
    <w:rsid w:val="292C2C40"/>
    <w:rsid w:val="292D0766"/>
    <w:rsid w:val="29384EA8"/>
    <w:rsid w:val="29385A89"/>
    <w:rsid w:val="29477A7A"/>
    <w:rsid w:val="295757E3"/>
    <w:rsid w:val="29583A35"/>
    <w:rsid w:val="296F6FD1"/>
    <w:rsid w:val="298505A2"/>
    <w:rsid w:val="298567F4"/>
    <w:rsid w:val="299B1B74"/>
    <w:rsid w:val="299B6018"/>
    <w:rsid w:val="29B36EBE"/>
    <w:rsid w:val="29B50E88"/>
    <w:rsid w:val="29BB3FC4"/>
    <w:rsid w:val="29BF1D06"/>
    <w:rsid w:val="29C9048F"/>
    <w:rsid w:val="29CE1F49"/>
    <w:rsid w:val="29DD218D"/>
    <w:rsid w:val="29DF7CB3"/>
    <w:rsid w:val="29E26463"/>
    <w:rsid w:val="29EA7105"/>
    <w:rsid w:val="29F51284"/>
    <w:rsid w:val="29FB3861"/>
    <w:rsid w:val="29FF2103"/>
    <w:rsid w:val="2A0140CD"/>
    <w:rsid w:val="2A023B5C"/>
    <w:rsid w:val="2A066370"/>
    <w:rsid w:val="2A07065D"/>
    <w:rsid w:val="2A0A08C3"/>
    <w:rsid w:val="2A1A6F3D"/>
    <w:rsid w:val="2A257690"/>
    <w:rsid w:val="2A355B25"/>
    <w:rsid w:val="2A3C5105"/>
    <w:rsid w:val="2A5218F9"/>
    <w:rsid w:val="2A5306A1"/>
    <w:rsid w:val="2A534564"/>
    <w:rsid w:val="2A573A70"/>
    <w:rsid w:val="2A5A1A2F"/>
    <w:rsid w:val="2A6B7798"/>
    <w:rsid w:val="2A703001"/>
    <w:rsid w:val="2A7D127A"/>
    <w:rsid w:val="2A88034A"/>
    <w:rsid w:val="2A8D3BB3"/>
    <w:rsid w:val="2A8E16D9"/>
    <w:rsid w:val="2A952A67"/>
    <w:rsid w:val="2A9C5BA4"/>
    <w:rsid w:val="2AA333D6"/>
    <w:rsid w:val="2AA809EC"/>
    <w:rsid w:val="2AA9206F"/>
    <w:rsid w:val="2AAF3B29"/>
    <w:rsid w:val="2ADB55E8"/>
    <w:rsid w:val="2AE17A5A"/>
    <w:rsid w:val="2AE35581"/>
    <w:rsid w:val="2AED0298"/>
    <w:rsid w:val="2B083239"/>
    <w:rsid w:val="2B1C6CE5"/>
    <w:rsid w:val="2B2E632D"/>
    <w:rsid w:val="2B367DA6"/>
    <w:rsid w:val="2B391645"/>
    <w:rsid w:val="2B5302F9"/>
    <w:rsid w:val="2B593A95"/>
    <w:rsid w:val="2B5B15BB"/>
    <w:rsid w:val="2B65068C"/>
    <w:rsid w:val="2B6A3EF4"/>
    <w:rsid w:val="2B6D775F"/>
    <w:rsid w:val="2B724B56"/>
    <w:rsid w:val="2B942D1F"/>
    <w:rsid w:val="2B9B40AD"/>
    <w:rsid w:val="2BA2368E"/>
    <w:rsid w:val="2BB37649"/>
    <w:rsid w:val="2BC929C8"/>
    <w:rsid w:val="2BC92A24"/>
    <w:rsid w:val="2BDA4BD6"/>
    <w:rsid w:val="2BDF043E"/>
    <w:rsid w:val="2BDF7D20"/>
    <w:rsid w:val="2BE912BD"/>
    <w:rsid w:val="2BEB6DE3"/>
    <w:rsid w:val="2BED6535"/>
    <w:rsid w:val="2BF8505C"/>
    <w:rsid w:val="2C016606"/>
    <w:rsid w:val="2C063C1D"/>
    <w:rsid w:val="2C1520B2"/>
    <w:rsid w:val="2C163734"/>
    <w:rsid w:val="2C190120"/>
    <w:rsid w:val="2C1C51EE"/>
    <w:rsid w:val="2C1D0F66"/>
    <w:rsid w:val="2C1D2D14"/>
    <w:rsid w:val="2C2422F5"/>
    <w:rsid w:val="2C274DE6"/>
    <w:rsid w:val="2C2B3683"/>
    <w:rsid w:val="2C2E4F21"/>
    <w:rsid w:val="2C385DA0"/>
    <w:rsid w:val="2C3D5164"/>
    <w:rsid w:val="2C444745"/>
    <w:rsid w:val="2C471B3F"/>
    <w:rsid w:val="2C477D91"/>
    <w:rsid w:val="2C662893"/>
    <w:rsid w:val="2C7548FE"/>
    <w:rsid w:val="2C7A0167"/>
    <w:rsid w:val="2C842D93"/>
    <w:rsid w:val="2C8B2374"/>
    <w:rsid w:val="2C9034E6"/>
    <w:rsid w:val="2C950AFD"/>
    <w:rsid w:val="2C9805ED"/>
    <w:rsid w:val="2CA84CD4"/>
    <w:rsid w:val="2CB82A3D"/>
    <w:rsid w:val="2CBD48CE"/>
    <w:rsid w:val="2CBF201D"/>
    <w:rsid w:val="2CC3566A"/>
    <w:rsid w:val="2CD05FD9"/>
    <w:rsid w:val="2CD86C3B"/>
    <w:rsid w:val="2CD94E8D"/>
    <w:rsid w:val="2CE211B2"/>
    <w:rsid w:val="2CEF46B1"/>
    <w:rsid w:val="2CF577ED"/>
    <w:rsid w:val="2CF63C91"/>
    <w:rsid w:val="2D0221A0"/>
    <w:rsid w:val="2D151C3D"/>
    <w:rsid w:val="2D1E6D44"/>
    <w:rsid w:val="2D360531"/>
    <w:rsid w:val="2D4367AA"/>
    <w:rsid w:val="2D4D587B"/>
    <w:rsid w:val="2D636E4D"/>
    <w:rsid w:val="2D6D3827"/>
    <w:rsid w:val="2D6F57F1"/>
    <w:rsid w:val="2D7050C6"/>
    <w:rsid w:val="2D7B4196"/>
    <w:rsid w:val="2D7B5F44"/>
    <w:rsid w:val="2D7B7CF2"/>
    <w:rsid w:val="2D915768"/>
    <w:rsid w:val="2D937732"/>
    <w:rsid w:val="2D99461C"/>
    <w:rsid w:val="2DA21723"/>
    <w:rsid w:val="2DA84860"/>
    <w:rsid w:val="2DAF2092"/>
    <w:rsid w:val="2DAF3E40"/>
    <w:rsid w:val="2DAF5BEE"/>
    <w:rsid w:val="2DB256DE"/>
    <w:rsid w:val="2DBE22D5"/>
    <w:rsid w:val="2DD438A6"/>
    <w:rsid w:val="2DD613CD"/>
    <w:rsid w:val="2DEF06E0"/>
    <w:rsid w:val="2DF06932"/>
    <w:rsid w:val="2DF6381D"/>
    <w:rsid w:val="2DF83A39"/>
    <w:rsid w:val="2DF857E7"/>
    <w:rsid w:val="2DFF6930"/>
    <w:rsid w:val="2E015B36"/>
    <w:rsid w:val="2E04418C"/>
    <w:rsid w:val="2E053A60"/>
    <w:rsid w:val="2E0C4DEE"/>
    <w:rsid w:val="2E0E0B66"/>
    <w:rsid w:val="2E275F81"/>
    <w:rsid w:val="2E2C5491"/>
    <w:rsid w:val="2E3031D3"/>
    <w:rsid w:val="2E354362"/>
    <w:rsid w:val="2E440A2C"/>
    <w:rsid w:val="2E450300"/>
    <w:rsid w:val="2E453834"/>
    <w:rsid w:val="2E497DF1"/>
    <w:rsid w:val="2E4E51C2"/>
    <w:rsid w:val="2E556795"/>
    <w:rsid w:val="2E560BBA"/>
    <w:rsid w:val="2E5C5D76"/>
    <w:rsid w:val="2E620EB2"/>
    <w:rsid w:val="2E725599"/>
    <w:rsid w:val="2E77681E"/>
    <w:rsid w:val="2E782484"/>
    <w:rsid w:val="2E7D7A9A"/>
    <w:rsid w:val="2E861045"/>
    <w:rsid w:val="2E8C0C88"/>
    <w:rsid w:val="2E982B26"/>
    <w:rsid w:val="2E9A0BA3"/>
    <w:rsid w:val="2EA414CB"/>
    <w:rsid w:val="2EA65243"/>
    <w:rsid w:val="2EB84F76"/>
    <w:rsid w:val="2EBC6814"/>
    <w:rsid w:val="2EBF2F4F"/>
    <w:rsid w:val="2ECE6548"/>
    <w:rsid w:val="2EDF0755"/>
    <w:rsid w:val="2EE1627B"/>
    <w:rsid w:val="2EE8585B"/>
    <w:rsid w:val="2EEE0998"/>
    <w:rsid w:val="2EF57F78"/>
    <w:rsid w:val="2EFF6701"/>
    <w:rsid w:val="2F01649B"/>
    <w:rsid w:val="2F041F69"/>
    <w:rsid w:val="2F106B60"/>
    <w:rsid w:val="2F1523C9"/>
    <w:rsid w:val="2F157BEC"/>
    <w:rsid w:val="2F260132"/>
    <w:rsid w:val="2F3740ED"/>
    <w:rsid w:val="2F4A02C4"/>
    <w:rsid w:val="2F4B2B19"/>
    <w:rsid w:val="2F4B5DEA"/>
    <w:rsid w:val="2F5A59C7"/>
    <w:rsid w:val="2F6246CC"/>
    <w:rsid w:val="2F650C5A"/>
    <w:rsid w:val="2F6F0CA0"/>
    <w:rsid w:val="2F762E67"/>
    <w:rsid w:val="2F8860C3"/>
    <w:rsid w:val="2F911A4F"/>
    <w:rsid w:val="2FA379D4"/>
    <w:rsid w:val="2FA554FB"/>
    <w:rsid w:val="2FA63021"/>
    <w:rsid w:val="2FA8323D"/>
    <w:rsid w:val="2FB120F1"/>
    <w:rsid w:val="2FB92D54"/>
    <w:rsid w:val="2FBB6ACC"/>
    <w:rsid w:val="2FBD326C"/>
    <w:rsid w:val="2FC33BD3"/>
    <w:rsid w:val="2FC53683"/>
    <w:rsid w:val="2FC55B9D"/>
    <w:rsid w:val="2FD302BA"/>
    <w:rsid w:val="2FD63906"/>
    <w:rsid w:val="2FDD4C94"/>
    <w:rsid w:val="2FE222AB"/>
    <w:rsid w:val="2FE36023"/>
    <w:rsid w:val="2FE97A5F"/>
    <w:rsid w:val="3005243D"/>
    <w:rsid w:val="300541EB"/>
    <w:rsid w:val="300C37CC"/>
    <w:rsid w:val="300E12F2"/>
    <w:rsid w:val="301A5EE8"/>
    <w:rsid w:val="301B57BD"/>
    <w:rsid w:val="30202DD3"/>
    <w:rsid w:val="302A1EA4"/>
    <w:rsid w:val="303625F7"/>
    <w:rsid w:val="303D1BD7"/>
    <w:rsid w:val="303D3985"/>
    <w:rsid w:val="304C3BC8"/>
    <w:rsid w:val="304C5976"/>
    <w:rsid w:val="30586A11"/>
    <w:rsid w:val="305A47DE"/>
    <w:rsid w:val="30601421"/>
    <w:rsid w:val="30647164"/>
    <w:rsid w:val="30656A38"/>
    <w:rsid w:val="307373A7"/>
    <w:rsid w:val="307D1FD3"/>
    <w:rsid w:val="3086532C"/>
    <w:rsid w:val="30872E52"/>
    <w:rsid w:val="30915A7F"/>
    <w:rsid w:val="309A4933"/>
    <w:rsid w:val="309E348C"/>
    <w:rsid w:val="30A21A3A"/>
    <w:rsid w:val="30B17ECF"/>
    <w:rsid w:val="30B654E5"/>
    <w:rsid w:val="30B90C45"/>
    <w:rsid w:val="30C85944"/>
    <w:rsid w:val="30CB2D3F"/>
    <w:rsid w:val="30DF4A3C"/>
    <w:rsid w:val="30DF67EA"/>
    <w:rsid w:val="30E3277E"/>
    <w:rsid w:val="30E67B79"/>
    <w:rsid w:val="30EC0F07"/>
    <w:rsid w:val="30F93D50"/>
    <w:rsid w:val="310149B3"/>
    <w:rsid w:val="31077AEF"/>
    <w:rsid w:val="31093867"/>
    <w:rsid w:val="310F3CAE"/>
    <w:rsid w:val="31394322"/>
    <w:rsid w:val="314F1BC2"/>
    <w:rsid w:val="31505547"/>
    <w:rsid w:val="315076E8"/>
    <w:rsid w:val="31554CFE"/>
    <w:rsid w:val="3159659D"/>
    <w:rsid w:val="3184082E"/>
    <w:rsid w:val="3186310A"/>
    <w:rsid w:val="31AA1C03"/>
    <w:rsid w:val="31B163D9"/>
    <w:rsid w:val="31BB50D0"/>
    <w:rsid w:val="31BC27A1"/>
    <w:rsid w:val="31C37EBA"/>
    <w:rsid w:val="31C51E84"/>
    <w:rsid w:val="31C7024A"/>
    <w:rsid w:val="31CA749A"/>
    <w:rsid w:val="31D40319"/>
    <w:rsid w:val="31DA7378"/>
    <w:rsid w:val="31E16592"/>
    <w:rsid w:val="31EF0CAF"/>
    <w:rsid w:val="31FB3AF8"/>
    <w:rsid w:val="31FE5396"/>
    <w:rsid w:val="32024E86"/>
    <w:rsid w:val="32081D71"/>
    <w:rsid w:val="320C360F"/>
    <w:rsid w:val="320D7387"/>
    <w:rsid w:val="321A3B53"/>
    <w:rsid w:val="3221139E"/>
    <w:rsid w:val="32222E32"/>
    <w:rsid w:val="32230959"/>
    <w:rsid w:val="32244DFC"/>
    <w:rsid w:val="32313075"/>
    <w:rsid w:val="32340DB8"/>
    <w:rsid w:val="323D1A1A"/>
    <w:rsid w:val="324E00CB"/>
    <w:rsid w:val="324E1E79"/>
    <w:rsid w:val="3260395B"/>
    <w:rsid w:val="32617B06"/>
    <w:rsid w:val="326C2300"/>
    <w:rsid w:val="327F64D7"/>
    <w:rsid w:val="3281224F"/>
    <w:rsid w:val="328304A8"/>
    <w:rsid w:val="328305A1"/>
    <w:rsid w:val="329D070B"/>
    <w:rsid w:val="32B36180"/>
    <w:rsid w:val="32BA306B"/>
    <w:rsid w:val="32BC5F4D"/>
    <w:rsid w:val="32C41178"/>
    <w:rsid w:val="32CC7242"/>
    <w:rsid w:val="32D61E6F"/>
    <w:rsid w:val="32DF6F75"/>
    <w:rsid w:val="32E7407C"/>
    <w:rsid w:val="32E97DF4"/>
    <w:rsid w:val="32EE71B8"/>
    <w:rsid w:val="32FA790B"/>
    <w:rsid w:val="332D7CE1"/>
    <w:rsid w:val="333252F7"/>
    <w:rsid w:val="33353039"/>
    <w:rsid w:val="3337290D"/>
    <w:rsid w:val="334E7C57"/>
    <w:rsid w:val="33550FE6"/>
    <w:rsid w:val="33596D28"/>
    <w:rsid w:val="33631954"/>
    <w:rsid w:val="336C7C50"/>
    <w:rsid w:val="336D632F"/>
    <w:rsid w:val="33827C9B"/>
    <w:rsid w:val="33896203"/>
    <w:rsid w:val="339715FE"/>
    <w:rsid w:val="33A31D51"/>
    <w:rsid w:val="33AB6E58"/>
    <w:rsid w:val="33B10912"/>
    <w:rsid w:val="33D463AE"/>
    <w:rsid w:val="33DC1707"/>
    <w:rsid w:val="33E12879"/>
    <w:rsid w:val="33E800AC"/>
    <w:rsid w:val="33F16F60"/>
    <w:rsid w:val="33FD3B57"/>
    <w:rsid w:val="33FE364D"/>
    <w:rsid w:val="34057765"/>
    <w:rsid w:val="34096B06"/>
    <w:rsid w:val="341512ED"/>
    <w:rsid w:val="341D7D55"/>
    <w:rsid w:val="34207846"/>
    <w:rsid w:val="342509B8"/>
    <w:rsid w:val="3429115A"/>
    <w:rsid w:val="343B642D"/>
    <w:rsid w:val="34533777"/>
    <w:rsid w:val="345D63A4"/>
    <w:rsid w:val="345E036E"/>
    <w:rsid w:val="34761419"/>
    <w:rsid w:val="347656B7"/>
    <w:rsid w:val="347831DE"/>
    <w:rsid w:val="34831B82"/>
    <w:rsid w:val="34833930"/>
    <w:rsid w:val="349A290B"/>
    <w:rsid w:val="34A22009"/>
    <w:rsid w:val="34A71D15"/>
    <w:rsid w:val="34B75266"/>
    <w:rsid w:val="34BB30CA"/>
    <w:rsid w:val="34BF2BBB"/>
    <w:rsid w:val="34C12DD7"/>
    <w:rsid w:val="34C208FD"/>
    <w:rsid w:val="34C5219B"/>
    <w:rsid w:val="34C74165"/>
    <w:rsid w:val="34CB5A03"/>
    <w:rsid w:val="34D03FA8"/>
    <w:rsid w:val="34F2580B"/>
    <w:rsid w:val="35044770"/>
    <w:rsid w:val="35335357"/>
    <w:rsid w:val="35386E11"/>
    <w:rsid w:val="353C06AF"/>
    <w:rsid w:val="35496928"/>
    <w:rsid w:val="355C48AD"/>
    <w:rsid w:val="355E078F"/>
    <w:rsid w:val="356946DE"/>
    <w:rsid w:val="356E3C32"/>
    <w:rsid w:val="357E0BE0"/>
    <w:rsid w:val="357E0CC8"/>
    <w:rsid w:val="357F234A"/>
    <w:rsid w:val="358362DE"/>
    <w:rsid w:val="35843E04"/>
    <w:rsid w:val="35887450"/>
    <w:rsid w:val="358B0CEF"/>
    <w:rsid w:val="358D7166"/>
    <w:rsid w:val="358E6A31"/>
    <w:rsid w:val="359009FB"/>
    <w:rsid w:val="359A234F"/>
    <w:rsid w:val="359A3628"/>
    <w:rsid w:val="35A16764"/>
    <w:rsid w:val="35A26038"/>
    <w:rsid w:val="35B2271F"/>
    <w:rsid w:val="35B446E9"/>
    <w:rsid w:val="35B50461"/>
    <w:rsid w:val="35C97A69"/>
    <w:rsid w:val="35CF1523"/>
    <w:rsid w:val="35D2691D"/>
    <w:rsid w:val="35D408E8"/>
    <w:rsid w:val="35D73F34"/>
    <w:rsid w:val="35DA3A24"/>
    <w:rsid w:val="35DC018A"/>
    <w:rsid w:val="35DE1766"/>
    <w:rsid w:val="35E36D7D"/>
    <w:rsid w:val="35E52AF5"/>
    <w:rsid w:val="35ED312B"/>
    <w:rsid w:val="35F72828"/>
    <w:rsid w:val="36017203"/>
    <w:rsid w:val="36024564"/>
    <w:rsid w:val="360D5BA8"/>
    <w:rsid w:val="36127662"/>
    <w:rsid w:val="361F13AE"/>
    <w:rsid w:val="362353CB"/>
    <w:rsid w:val="36257395"/>
    <w:rsid w:val="3627310D"/>
    <w:rsid w:val="36276335"/>
    <w:rsid w:val="363E3FB3"/>
    <w:rsid w:val="36405F7D"/>
    <w:rsid w:val="364233FE"/>
    <w:rsid w:val="364610BA"/>
    <w:rsid w:val="364C4922"/>
    <w:rsid w:val="366652B8"/>
    <w:rsid w:val="367C4ADB"/>
    <w:rsid w:val="36853990"/>
    <w:rsid w:val="36873BAC"/>
    <w:rsid w:val="369736C3"/>
    <w:rsid w:val="36981B5D"/>
    <w:rsid w:val="369B1405"/>
    <w:rsid w:val="36A9634B"/>
    <w:rsid w:val="36AF3103"/>
    <w:rsid w:val="36D079C8"/>
    <w:rsid w:val="36D641EB"/>
    <w:rsid w:val="36E56B24"/>
    <w:rsid w:val="36EF52AD"/>
    <w:rsid w:val="36F86858"/>
    <w:rsid w:val="36FA7AF1"/>
    <w:rsid w:val="37021484"/>
    <w:rsid w:val="3709636F"/>
    <w:rsid w:val="370C2303"/>
    <w:rsid w:val="3715740A"/>
    <w:rsid w:val="371C0798"/>
    <w:rsid w:val="371D006C"/>
    <w:rsid w:val="372B2789"/>
    <w:rsid w:val="37321D6A"/>
    <w:rsid w:val="375A6BCB"/>
    <w:rsid w:val="377C2FE5"/>
    <w:rsid w:val="377C4D93"/>
    <w:rsid w:val="377D2FD4"/>
    <w:rsid w:val="378123A9"/>
    <w:rsid w:val="37841E99"/>
    <w:rsid w:val="3784633D"/>
    <w:rsid w:val="3787198A"/>
    <w:rsid w:val="37A97B52"/>
    <w:rsid w:val="37B07132"/>
    <w:rsid w:val="37B502A5"/>
    <w:rsid w:val="37B87D95"/>
    <w:rsid w:val="37B95FE7"/>
    <w:rsid w:val="37C130EE"/>
    <w:rsid w:val="37D716E7"/>
    <w:rsid w:val="37DC3A83"/>
    <w:rsid w:val="37E34E12"/>
    <w:rsid w:val="37FE6A0C"/>
    <w:rsid w:val="380134EA"/>
    <w:rsid w:val="38064FA4"/>
    <w:rsid w:val="38207E14"/>
    <w:rsid w:val="38211DDE"/>
    <w:rsid w:val="382D0783"/>
    <w:rsid w:val="383B18DD"/>
    <w:rsid w:val="38433B03"/>
    <w:rsid w:val="384635F3"/>
    <w:rsid w:val="38481119"/>
    <w:rsid w:val="38563836"/>
    <w:rsid w:val="38637D01"/>
    <w:rsid w:val="388E51E6"/>
    <w:rsid w:val="38997BC6"/>
    <w:rsid w:val="38AD5420"/>
    <w:rsid w:val="38B8629F"/>
    <w:rsid w:val="38B93DC5"/>
    <w:rsid w:val="38C56C0D"/>
    <w:rsid w:val="38D1110E"/>
    <w:rsid w:val="38D155B2"/>
    <w:rsid w:val="38D97FC3"/>
    <w:rsid w:val="38DB01DF"/>
    <w:rsid w:val="38F17A02"/>
    <w:rsid w:val="39034B3A"/>
    <w:rsid w:val="3905525C"/>
    <w:rsid w:val="391159AF"/>
    <w:rsid w:val="39167469"/>
    <w:rsid w:val="39186D3D"/>
    <w:rsid w:val="391D218E"/>
    <w:rsid w:val="392978D6"/>
    <w:rsid w:val="393002D4"/>
    <w:rsid w:val="3934169D"/>
    <w:rsid w:val="39362A05"/>
    <w:rsid w:val="39363667"/>
    <w:rsid w:val="394418E0"/>
    <w:rsid w:val="39456F2C"/>
    <w:rsid w:val="39797D93"/>
    <w:rsid w:val="3986014B"/>
    <w:rsid w:val="39A64349"/>
    <w:rsid w:val="39AC56D7"/>
    <w:rsid w:val="39B8407C"/>
    <w:rsid w:val="39BF18AF"/>
    <w:rsid w:val="39C90037"/>
    <w:rsid w:val="39D761EF"/>
    <w:rsid w:val="39DB72F7"/>
    <w:rsid w:val="39DF3CFF"/>
    <w:rsid w:val="39FA2880"/>
    <w:rsid w:val="39FC665F"/>
    <w:rsid w:val="3A086DB2"/>
    <w:rsid w:val="3A0E1EEE"/>
    <w:rsid w:val="3A2E433E"/>
    <w:rsid w:val="3A342638"/>
    <w:rsid w:val="3A396F6B"/>
    <w:rsid w:val="3A410516"/>
    <w:rsid w:val="3A45538E"/>
    <w:rsid w:val="3A4A71A6"/>
    <w:rsid w:val="3A60099C"/>
    <w:rsid w:val="3A683CF4"/>
    <w:rsid w:val="3A6D30B9"/>
    <w:rsid w:val="3A802DEC"/>
    <w:rsid w:val="3A8A77C7"/>
    <w:rsid w:val="3A8C79E3"/>
    <w:rsid w:val="3A8F3EBA"/>
    <w:rsid w:val="3A916DA7"/>
    <w:rsid w:val="3A9C5669"/>
    <w:rsid w:val="3AA52853"/>
    <w:rsid w:val="3AA54601"/>
    <w:rsid w:val="3AB10259"/>
    <w:rsid w:val="3AB45085"/>
    <w:rsid w:val="3ABA6222"/>
    <w:rsid w:val="3AC3717D"/>
    <w:rsid w:val="3AC54CA3"/>
    <w:rsid w:val="3AD46C94"/>
    <w:rsid w:val="3AD509CD"/>
    <w:rsid w:val="3ADD4291"/>
    <w:rsid w:val="3AE0388B"/>
    <w:rsid w:val="3AE315CD"/>
    <w:rsid w:val="3AE4207A"/>
    <w:rsid w:val="3AF64E5C"/>
    <w:rsid w:val="3AFA638A"/>
    <w:rsid w:val="3AFF6407"/>
    <w:rsid w:val="3B051543"/>
    <w:rsid w:val="3B0C4680"/>
    <w:rsid w:val="3B0C7A06"/>
    <w:rsid w:val="3B0E30BF"/>
    <w:rsid w:val="3B301F44"/>
    <w:rsid w:val="3B3836C7"/>
    <w:rsid w:val="3B3B31B7"/>
    <w:rsid w:val="3B451940"/>
    <w:rsid w:val="3B4A51A8"/>
    <w:rsid w:val="3B566CE4"/>
    <w:rsid w:val="3B5F0C53"/>
    <w:rsid w:val="3B653D90"/>
    <w:rsid w:val="3B675D5A"/>
    <w:rsid w:val="3B7566C9"/>
    <w:rsid w:val="3B84690C"/>
    <w:rsid w:val="3B934DA1"/>
    <w:rsid w:val="3B974891"/>
    <w:rsid w:val="3B9A7EDD"/>
    <w:rsid w:val="3BA26D92"/>
    <w:rsid w:val="3BA42B0A"/>
    <w:rsid w:val="3BA7084C"/>
    <w:rsid w:val="3BA90120"/>
    <w:rsid w:val="3BAC7C11"/>
    <w:rsid w:val="3BAD71B4"/>
    <w:rsid w:val="3BAE4829"/>
    <w:rsid w:val="3BC136BC"/>
    <w:rsid w:val="3BC9431F"/>
    <w:rsid w:val="3BCC2061"/>
    <w:rsid w:val="3BDC04F6"/>
    <w:rsid w:val="3BDC6748"/>
    <w:rsid w:val="3BDF73C5"/>
    <w:rsid w:val="3BF21AC7"/>
    <w:rsid w:val="3BF82E56"/>
    <w:rsid w:val="3BFA6BCE"/>
    <w:rsid w:val="3C017F5D"/>
    <w:rsid w:val="3C0B2B89"/>
    <w:rsid w:val="3C2C3893"/>
    <w:rsid w:val="3C320116"/>
    <w:rsid w:val="3C335C3C"/>
    <w:rsid w:val="3C3976F6"/>
    <w:rsid w:val="3C44609B"/>
    <w:rsid w:val="3C504A40"/>
    <w:rsid w:val="3C5207B8"/>
    <w:rsid w:val="3C6109FB"/>
    <w:rsid w:val="3C6127A9"/>
    <w:rsid w:val="3C642299"/>
    <w:rsid w:val="3C681D8A"/>
    <w:rsid w:val="3C6A5B02"/>
    <w:rsid w:val="3C756255"/>
    <w:rsid w:val="3C771FCD"/>
    <w:rsid w:val="3C776471"/>
    <w:rsid w:val="3C7C3A87"/>
    <w:rsid w:val="3C7E6224"/>
    <w:rsid w:val="3C7F0E81"/>
    <w:rsid w:val="3C85293C"/>
    <w:rsid w:val="3C8F5568"/>
    <w:rsid w:val="3C926E07"/>
    <w:rsid w:val="3CAC1FDE"/>
    <w:rsid w:val="3CC64D02"/>
    <w:rsid w:val="3CC82828"/>
    <w:rsid w:val="3CD4741F"/>
    <w:rsid w:val="3CD64F45"/>
    <w:rsid w:val="3CDE204C"/>
    <w:rsid w:val="3CE31410"/>
    <w:rsid w:val="3CEF24AB"/>
    <w:rsid w:val="3CF74EBC"/>
    <w:rsid w:val="3CFE26EE"/>
    <w:rsid w:val="3D141F11"/>
    <w:rsid w:val="3D1D2B74"/>
    <w:rsid w:val="3D385C00"/>
    <w:rsid w:val="3D3B124C"/>
    <w:rsid w:val="3D475E43"/>
    <w:rsid w:val="3D4F2F4A"/>
    <w:rsid w:val="3D5347E8"/>
    <w:rsid w:val="3D583BAC"/>
    <w:rsid w:val="3D5F318D"/>
    <w:rsid w:val="3D6A7D83"/>
    <w:rsid w:val="3D70539A"/>
    <w:rsid w:val="3D785FFC"/>
    <w:rsid w:val="3D8C4327"/>
    <w:rsid w:val="3D902D22"/>
    <w:rsid w:val="3DA45043"/>
    <w:rsid w:val="3DA74B34"/>
    <w:rsid w:val="3DAE5EC2"/>
    <w:rsid w:val="3DB80AEF"/>
    <w:rsid w:val="3DCB0822"/>
    <w:rsid w:val="3DCB25D0"/>
    <w:rsid w:val="3DE417D3"/>
    <w:rsid w:val="3DF17B5D"/>
    <w:rsid w:val="3DF4021A"/>
    <w:rsid w:val="3E012496"/>
    <w:rsid w:val="3E047963"/>
    <w:rsid w:val="3E137D9D"/>
    <w:rsid w:val="3E173A67"/>
    <w:rsid w:val="3E1C107E"/>
    <w:rsid w:val="3E2241BA"/>
    <w:rsid w:val="3E29379B"/>
    <w:rsid w:val="3E295549"/>
    <w:rsid w:val="3E2972F7"/>
    <w:rsid w:val="3E374676"/>
    <w:rsid w:val="3E391C30"/>
    <w:rsid w:val="3E3C34CE"/>
    <w:rsid w:val="3E3D0FF4"/>
    <w:rsid w:val="3E467EA9"/>
    <w:rsid w:val="3E483C21"/>
    <w:rsid w:val="3E4E3201"/>
    <w:rsid w:val="3E5720B6"/>
    <w:rsid w:val="3E6622F9"/>
    <w:rsid w:val="3E6D18D9"/>
    <w:rsid w:val="3E725142"/>
    <w:rsid w:val="3E8B1D5F"/>
    <w:rsid w:val="3E8E5BBA"/>
    <w:rsid w:val="3E907376"/>
    <w:rsid w:val="3EA42E21"/>
    <w:rsid w:val="3EB86069"/>
    <w:rsid w:val="3ECA0ADA"/>
    <w:rsid w:val="3ECC2AA4"/>
    <w:rsid w:val="3ECD4126"/>
    <w:rsid w:val="3ECE69ED"/>
    <w:rsid w:val="3ED2798E"/>
    <w:rsid w:val="3ED74FA5"/>
    <w:rsid w:val="3ED951C1"/>
    <w:rsid w:val="3EDC10FF"/>
    <w:rsid w:val="3EE871B2"/>
    <w:rsid w:val="3EEC6CA2"/>
    <w:rsid w:val="3EF618CF"/>
    <w:rsid w:val="3F0538C0"/>
    <w:rsid w:val="3F0A5E23"/>
    <w:rsid w:val="3F0C0DBA"/>
    <w:rsid w:val="3F1E0E25"/>
    <w:rsid w:val="3F2006FA"/>
    <w:rsid w:val="3F23643C"/>
    <w:rsid w:val="3F253F62"/>
    <w:rsid w:val="3F390295"/>
    <w:rsid w:val="3F446ADE"/>
    <w:rsid w:val="3F512FA9"/>
    <w:rsid w:val="3F514D57"/>
    <w:rsid w:val="3F542A99"/>
    <w:rsid w:val="3F5860E5"/>
    <w:rsid w:val="3F5E7474"/>
    <w:rsid w:val="3F785608"/>
    <w:rsid w:val="3FA30576"/>
    <w:rsid w:val="3FAC01DF"/>
    <w:rsid w:val="3FAF1A7E"/>
    <w:rsid w:val="3FB84DD6"/>
    <w:rsid w:val="3FFEC4E3"/>
    <w:rsid w:val="401C35B7"/>
    <w:rsid w:val="402734A4"/>
    <w:rsid w:val="404B17A6"/>
    <w:rsid w:val="405A4873"/>
    <w:rsid w:val="405C39B3"/>
    <w:rsid w:val="40624D42"/>
    <w:rsid w:val="406800A0"/>
    <w:rsid w:val="40774C91"/>
    <w:rsid w:val="407B3EBF"/>
    <w:rsid w:val="40890521"/>
    <w:rsid w:val="408F1FDB"/>
    <w:rsid w:val="40A4535A"/>
    <w:rsid w:val="40B27A77"/>
    <w:rsid w:val="40B82BB4"/>
    <w:rsid w:val="40C003E6"/>
    <w:rsid w:val="40DE086C"/>
    <w:rsid w:val="40DF693D"/>
    <w:rsid w:val="40F16A8E"/>
    <w:rsid w:val="40F956A6"/>
    <w:rsid w:val="4101356D"/>
    <w:rsid w:val="4105404B"/>
    <w:rsid w:val="4114428E"/>
    <w:rsid w:val="41250249"/>
    <w:rsid w:val="412545BE"/>
    <w:rsid w:val="412546ED"/>
    <w:rsid w:val="41313092"/>
    <w:rsid w:val="41314E40"/>
    <w:rsid w:val="41322966"/>
    <w:rsid w:val="41326E0A"/>
    <w:rsid w:val="41395AA3"/>
    <w:rsid w:val="413E755D"/>
    <w:rsid w:val="41412BA9"/>
    <w:rsid w:val="41474664"/>
    <w:rsid w:val="414A7CB0"/>
    <w:rsid w:val="414C7ECC"/>
    <w:rsid w:val="415723CD"/>
    <w:rsid w:val="415C79E3"/>
    <w:rsid w:val="41650F8E"/>
    <w:rsid w:val="41686388"/>
    <w:rsid w:val="418238EE"/>
    <w:rsid w:val="4184340D"/>
    <w:rsid w:val="41854814"/>
    <w:rsid w:val="41856F3A"/>
    <w:rsid w:val="418F7DB9"/>
    <w:rsid w:val="41986978"/>
    <w:rsid w:val="41AC096A"/>
    <w:rsid w:val="41B25855"/>
    <w:rsid w:val="41C77552"/>
    <w:rsid w:val="41E023C2"/>
    <w:rsid w:val="41E21275"/>
    <w:rsid w:val="41F540C0"/>
    <w:rsid w:val="42011AF0"/>
    <w:rsid w:val="42097B6B"/>
    <w:rsid w:val="42134546"/>
    <w:rsid w:val="42293D69"/>
    <w:rsid w:val="42310E70"/>
    <w:rsid w:val="42350960"/>
    <w:rsid w:val="424B1F31"/>
    <w:rsid w:val="424C7A58"/>
    <w:rsid w:val="42537038"/>
    <w:rsid w:val="42562684"/>
    <w:rsid w:val="425A3F23"/>
    <w:rsid w:val="425F3C2F"/>
    <w:rsid w:val="428C60A6"/>
    <w:rsid w:val="4290203A"/>
    <w:rsid w:val="42997141"/>
    <w:rsid w:val="42B71375"/>
    <w:rsid w:val="42C6780A"/>
    <w:rsid w:val="42D068DB"/>
    <w:rsid w:val="42D33CD5"/>
    <w:rsid w:val="42D67AEC"/>
    <w:rsid w:val="42DE2DA6"/>
    <w:rsid w:val="42E12896"/>
    <w:rsid w:val="42EB54C2"/>
    <w:rsid w:val="42EB70B5"/>
    <w:rsid w:val="42F26851"/>
    <w:rsid w:val="42F6152E"/>
    <w:rsid w:val="42FE0D52"/>
    <w:rsid w:val="42FF2D1C"/>
    <w:rsid w:val="42FF6CFF"/>
    <w:rsid w:val="43030A5E"/>
    <w:rsid w:val="430F2571"/>
    <w:rsid w:val="43106CD7"/>
    <w:rsid w:val="431467C7"/>
    <w:rsid w:val="43171E14"/>
    <w:rsid w:val="431A7B56"/>
    <w:rsid w:val="43236A0A"/>
    <w:rsid w:val="432509D4"/>
    <w:rsid w:val="432B58BF"/>
    <w:rsid w:val="432D7889"/>
    <w:rsid w:val="43432C09"/>
    <w:rsid w:val="434370AD"/>
    <w:rsid w:val="434A3F97"/>
    <w:rsid w:val="435B61A4"/>
    <w:rsid w:val="43655275"/>
    <w:rsid w:val="43663830"/>
    <w:rsid w:val="43675BC8"/>
    <w:rsid w:val="436B215F"/>
    <w:rsid w:val="436F1C50"/>
    <w:rsid w:val="43771108"/>
    <w:rsid w:val="43784FA8"/>
    <w:rsid w:val="437B23A2"/>
    <w:rsid w:val="437E00E5"/>
    <w:rsid w:val="438A6A89"/>
    <w:rsid w:val="438C0A54"/>
    <w:rsid w:val="438C4E1A"/>
    <w:rsid w:val="43993170"/>
    <w:rsid w:val="43A22025"/>
    <w:rsid w:val="43A37B4B"/>
    <w:rsid w:val="43B92ECB"/>
    <w:rsid w:val="43C024AB"/>
    <w:rsid w:val="43CF6B92"/>
    <w:rsid w:val="43DB1093"/>
    <w:rsid w:val="43DE2931"/>
    <w:rsid w:val="43E4263E"/>
    <w:rsid w:val="43F263DD"/>
    <w:rsid w:val="440305EA"/>
    <w:rsid w:val="44054362"/>
    <w:rsid w:val="440E1469"/>
    <w:rsid w:val="44110F59"/>
    <w:rsid w:val="44150A49"/>
    <w:rsid w:val="44290050"/>
    <w:rsid w:val="442944F4"/>
    <w:rsid w:val="44374467"/>
    <w:rsid w:val="443F5AC6"/>
    <w:rsid w:val="4440126D"/>
    <w:rsid w:val="44421112"/>
    <w:rsid w:val="44531571"/>
    <w:rsid w:val="446217B4"/>
    <w:rsid w:val="44627A06"/>
    <w:rsid w:val="446523D2"/>
    <w:rsid w:val="447137A5"/>
    <w:rsid w:val="448E07FB"/>
    <w:rsid w:val="4493196E"/>
    <w:rsid w:val="449776B0"/>
    <w:rsid w:val="449A0F4E"/>
    <w:rsid w:val="44A1052F"/>
    <w:rsid w:val="44AD6ED3"/>
    <w:rsid w:val="44C956AE"/>
    <w:rsid w:val="44CB1108"/>
    <w:rsid w:val="44CE0BF8"/>
    <w:rsid w:val="44DA0696"/>
    <w:rsid w:val="44E45943"/>
    <w:rsid w:val="44F22B38"/>
    <w:rsid w:val="450D7972"/>
    <w:rsid w:val="4517259F"/>
    <w:rsid w:val="452F1464"/>
    <w:rsid w:val="454B2248"/>
    <w:rsid w:val="454F3AE7"/>
    <w:rsid w:val="456A0921"/>
    <w:rsid w:val="456F23DB"/>
    <w:rsid w:val="457062E5"/>
    <w:rsid w:val="45790B64"/>
    <w:rsid w:val="4583380E"/>
    <w:rsid w:val="458539AC"/>
    <w:rsid w:val="45912351"/>
    <w:rsid w:val="45993146"/>
    <w:rsid w:val="459B31D0"/>
    <w:rsid w:val="45A02594"/>
    <w:rsid w:val="45A100BA"/>
    <w:rsid w:val="45A831F7"/>
    <w:rsid w:val="45C269AF"/>
    <w:rsid w:val="45C9168A"/>
    <w:rsid w:val="45CA13BF"/>
    <w:rsid w:val="45D66F35"/>
    <w:rsid w:val="45DC4A98"/>
    <w:rsid w:val="45EB3538"/>
    <w:rsid w:val="45EF52CA"/>
    <w:rsid w:val="45F12DF0"/>
    <w:rsid w:val="460C7C2A"/>
    <w:rsid w:val="460D74FE"/>
    <w:rsid w:val="46130FB8"/>
    <w:rsid w:val="4619382C"/>
    <w:rsid w:val="46440499"/>
    <w:rsid w:val="464C6278"/>
    <w:rsid w:val="46537607"/>
    <w:rsid w:val="46771AC0"/>
    <w:rsid w:val="467A2244"/>
    <w:rsid w:val="46844BE7"/>
    <w:rsid w:val="468E063F"/>
    <w:rsid w:val="469320F9"/>
    <w:rsid w:val="46A83F25"/>
    <w:rsid w:val="46AC6D17"/>
    <w:rsid w:val="46B818F0"/>
    <w:rsid w:val="46BA58D8"/>
    <w:rsid w:val="46C93D6D"/>
    <w:rsid w:val="46CD560B"/>
    <w:rsid w:val="46D02A05"/>
    <w:rsid w:val="46DC584E"/>
    <w:rsid w:val="46E2098A"/>
    <w:rsid w:val="46E42955"/>
    <w:rsid w:val="46F34946"/>
    <w:rsid w:val="46FA5CD4"/>
    <w:rsid w:val="47176886"/>
    <w:rsid w:val="472114B3"/>
    <w:rsid w:val="47372A84"/>
    <w:rsid w:val="47376F28"/>
    <w:rsid w:val="47490A0A"/>
    <w:rsid w:val="474F4272"/>
    <w:rsid w:val="475353E4"/>
    <w:rsid w:val="47541888"/>
    <w:rsid w:val="475D1A89"/>
    <w:rsid w:val="477041E8"/>
    <w:rsid w:val="47794E4B"/>
    <w:rsid w:val="47867C8A"/>
    <w:rsid w:val="479A3013"/>
    <w:rsid w:val="479B001B"/>
    <w:rsid w:val="47B42327"/>
    <w:rsid w:val="47B61DE1"/>
    <w:rsid w:val="47BE4F54"/>
    <w:rsid w:val="47C36A0E"/>
    <w:rsid w:val="47CA1B4A"/>
    <w:rsid w:val="47D06A35"/>
    <w:rsid w:val="47D21CE6"/>
    <w:rsid w:val="47D604EF"/>
    <w:rsid w:val="47EA5D49"/>
    <w:rsid w:val="47EC7D13"/>
    <w:rsid w:val="47FB1D04"/>
    <w:rsid w:val="481E3C44"/>
    <w:rsid w:val="484336AB"/>
    <w:rsid w:val="48533C2F"/>
    <w:rsid w:val="48537D92"/>
    <w:rsid w:val="48574EF5"/>
    <w:rsid w:val="486378A9"/>
    <w:rsid w:val="48693111"/>
    <w:rsid w:val="486E0728"/>
    <w:rsid w:val="48780B33"/>
    <w:rsid w:val="48790E7B"/>
    <w:rsid w:val="48876507"/>
    <w:rsid w:val="488C6CCD"/>
    <w:rsid w:val="488F68F0"/>
    <w:rsid w:val="4893018E"/>
    <w:rsid w:val="48A14890"/>
    <w:rsid w:val="48AB372A"/>
    <w:rsid w:val="48C93BB0"/>
    <w:rsid w:val="48D662CD"/>
    <w:rsid w:val="48DB1B35"/>
    <w:rsid w:val="48DC7D87"/>
    <w:rsid w:val="48E629B4"/>
    <w:rsid w:val="48E704DA"/>
    <w:rsid w:val="48F30C2D"/>
    <w:rsid w:val="4901159C"/>
    <w:rsid w:val="490660FB"/>
    <w:rsid w:val="49090450"/>
    <w:rsid w:val="492E6109"/>
    <w:rsid w:val="49325BF9"/>
    <w:rsid w:val="493D00FA"/>
    <w:rsid w:val="494871CB"/>
    <w:rsid w:val="49492F43"/>
    <w:rsid w:val="495628A5"/>
    <w:rsid w:val="4977360C"/>
    <w:rsid w:val="49867CF3"/>
    <w:rsid w:val="498875C7"/>
    <w:rsid w:val="49940662"/>
    <w:rsid w:val="49A60395"/>
    <w:rsid w:val="49AD5280"/>
    <w:rsid w:val="49B52386"/>
    <w:rsid w:val="49D96075"/>
    <w:rsid w:val="49E36EF3"/>
    <w:rsid w:val="49E52C6C"/>
    <w:rsid w:val="49EA0282"/>
    <w:rsid w:val="49F17862"/>
    <w:rsid w:val="49F27137"/>
    <w:rsid w:val="49FE1F7F"/>
    <w:rsid w:val="49FE5ADB"/>
    <w:rsid w:val="4A0A4480"/>
    <w:rsid w:val="4A192915"/>
    <w:rsid w:val="4A1A695A"/>
    <w:rsid w:val="4A203CA4"/>
    <w:rsid w:val="4A230728"/>
    <w:rsid w:val="4A2F038B"/>
    <w:rsid w:val="4A3E412A"/>
    <w:rsid w:val="4A45370A"/>
    <w:rsid w:val="4A4C0CEF"/>
    <w:rsid w:val="4A5B1180"/>
    <w:rsid w:val="4A5C0EF6"/>
    <w:rsid w:val="4A6242BC"/>
    <w:rsid w:val="4A655B5A"/>
    <w:rsid w:val="4A67403B"/>
    <w:rsid w:val="4A69389D"/>
    <w:rsid w:val="4A6F4C2B"/>
    <w:rsid w:val="4A734E79"/>
    <w:rsid w:val="4A742241"/>
    <w:rsid w:val="4A791C54"/>
    <w:rsid w:val="4A8835F7"/>
    <w:rsid w:val="4A963F66"/>
    <w:rsid w:val="4A9F106C"/>
    <w:rsid w:val="4A9F72BE"/>
    <w:rsid w:val="4AA5596D"/>
    <w:rsid w:val="4AB368C6"/>
    <w:rsid w:val="4ABB1C1E"/>
    <w:rsid w:val="4ABF34BD"/>
    <w:rsid w:val="4AD27698"/>
    <w:rsid w:val="4AD66A58"/>
    <w:rsid w:val="4AE50A49"/>
    <w:rsid w:val="4AE7656F"/>
    <w:rsid w:val="4AEA55F5"/>
    <w:rsid w:val="4AED4E6E"/>
    <w:rsid w:val="4AEE5B50"/>
    <w:rsid w:val="4AFE6652"/>
    <w:rsid w:val="4B1B114F"/>
    <w:rsid w:val="4B221C9D"/>
    <w:rsid w:val="4B2257F9"/>
    <w:rsid w:val="4B250368"/>
    <w:rsid w:val="4B2E419E"/>
    <w:rsid w:val="4B320132"/>
    <w:rsid w:val="4B321EE0"/>
    <w:rsid w:val="4B35377F"/>
    <w:rsid w:val="4B404E9B"/>
    <w:rsid w:val="4B46773A"/>
    <w:rsid w:val="4B49722A"/>
    <w:rsid w:val="4B4D6D1A"/>
    <w:rsid w:val="4B6202EC"/>
    <w:rsid w:val="4B6B53F2"/>
    <w:rsid w:val="4B6B61F5"/>
    <w:rsid w:val="4B6D637C"/>
    <w:rsid w:val="4B7047B7"/>
    <w:rsid w:val="4B7122DD"/>
    <w:rsid w:val="4B7342A7"/>
    <w:rsid w:val="4B775B45"/>
    <w:rsid w:val="4B7F6C9B"/>
    <w:rsid w:val="4B8A1D1C"/>
    <w:rsid w:val="4B8B7843"/>
    <w:rsid w:val="4B92472D"/>
    <w:rsid w:val="4B9E1324"/>
    <w:rsid w:val="4BB01238"/>
    <w:rsid w:val="4BB26B7D"/>
    <w:rsid w:val="4BB328F5"/>
    <w:rsid w:val="4BBC5C4E"/>
    <w:rsid w:val="4BCB7C3F"/>
    <w:rsid w:val="4BCF5981"/>
    <w:rsid w:val="4BE60F1D"/>
    <w:rsid w:val="4BEF1B80"/>
    <w:rsid w:val="4BF21670"/>
    <w:rsid w:val="4BF93ABC"/>
    <w:rsid w:val="4BFB6776"/>
    <w:rsid w:val="4C0513A3"/>
    <w:rsid w:val="4C1930A0"/>
    <w:rsid w:val="4C20184E"/>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793B3F"/>
    <w:rsid w:val="4C7E2F03"/>
    <w:rsid w:val="4C8C5620"/>
    <w:rsid w:val="4C9269AF"/>
    <w:rsid w:val="4C934C01"/>
    <w:rsid w:val="4C974380"/>
    <w:rsid w:val="4C983FC5"/>
    <w:rsid w:val="4CA02E7A"/>
    <w:rsid w:val="4CA7336B"/>
    <w:rsid w:val="4CAC2535"/>
    <w:rsid w:val="4CAD0BB5"/>
    <w:rsid w:val="4CAD4E55"/>
    <w:rsid w:val="4CB6269D"/>
    <w:rsid w:val="4CC0351C"/>
    <w:rsid w:val="4CC36B68"/>
    <w:rsid w:val="4CE23492"/>
    <w:rsid w:val="4CEE62DB"/>
    <w:rsid w:val="4CF66F3E"/>
    <w:rsid w:val="4CFB4554"/>
    <w:rsid w:val="4D001539"/>
    <w:rsid w:val="4D007DBC"/>
    <w:rsid w:val="4D060FF1"/>
    <w:rsid w:val="4D1A70D0"/>
    <w:rsid w:val="4D1F6494"/>
    <w:rsid w:val="4D2515D1"/>
    <w:rsid w:val="4D2770F7"/>
    <w:rsid w:val="4D2E2B7B"/>
    <w:rsid w:val="4D355CB8"/>
    <w:rsid w:val="4D371A30"/>
    <w:rsid w:val="4D404761"/>
    <w:rsid w:val="4D425B8B"/>
    <w:rsid w:val="4D491763"/>
    <w:rsid w:val="4D4E0B28"/>
    <w:rsid w:val="4D4E4C09"/>
    <w:rsid w:val="4D5325E2"/>
    <w:rsid w:val="4D551EB6"/>
    <w:rsid w:val="4D714797"/>
    <w:rsid w:val="4D720CBA"/>
    <w:rsid w:val="4D761E2D"/>
    <w:rsid w:val="4D7809BA"/>
    <w:rsid w:val="4D814A59"/>
    <w:rsid w:val="4D866514"/>
    <w:rsid w:val="4D9D560B"/>
    <w:rsid w:val="4D9F0EEA"/>
    <w:rsid w:val="4DA621CD"/>
    <w:rsid w:val="4DA62712"/>
    <w:rsid w:val="4DA93FB0"/>
    <w:rsid w:val="4DAB5F7A"/>
    <w:rsid w:val="4DBA7F6B"/>
    <w:rsid w:val="4DD86643"/>
    <w:rsid w:val="4DDC4386"/>
    <w:rsid w:val="4DE4216F"/>
    <w:rsid w:val="4DEB45C9"/>
    <w:rsid w:val="4DEF230B"/>
    <w:rsid w:val="4DFC0584"/>
    <w:rsid w:val="4DFC67D6"/>
    <w:rsid w:val="4DFF1E22"/>
    <w:rsid w:val="4E037B64"/>
    <w:rsid w:val="4E0D2791"/>
    <w:rsid w:val="4E1753BE"/>
    <w:rsid w:val="4E1C6E78"/>
    <w:rsid w:val="4E2B0E69"/>
    <w:rsid w:val="4E2F6BAB"/>
    <w:rsid w:val="4E3221F7"/>
    <w:rsid w:val="4E3F66C2"/>
    <w:rsid w:val="4E41068C"/>
    <w:rsid w:val="4E436946"/>
    <w:rsid w:val="4E453CD9"/>
    <w:rsid w:val="4E4A5793"/>
    <w:rsid w:val="4E6600F3"/>
    <w:rsid w:val="4E796078"/>
    <w:rsid w:val="4E86609F"/>
    <w:rsid w:val="4E920EE8"/>
    <w:rsid w:val="4E944C60"/>
    <w:rsid w:val="4EB175C0"/>
    <w:rsid w:val="4EB250E6"/>
    <w:rsid w:val="4EB422B8"/>
    <w:rsid w:val="4ED41501"/>
    <w:rsid w:val="4ED4505D"/>
    <w:rsid w:val="4EE5726A"/>
    <w:rsid w:val="4F043B94"/>
    <w:rsid w:val="4F095D32"/>
    <w:rsid w:val="4F1A4882"/>
    <w:rsid w:val="4F29184C"/>
    <w:rsid w:val="4F2E29BF"/>
    <w:rsid w:val="4F3124AF"/>
    <w:rsid w:val="4F3C4DEC"/>
    <w:rsid w:val="4F400944"/>
    <w:rsid w:val="4F42646A"/>
    <w:rsid w:val="4F626B0C"/>
    <w:rsid w:val="4F6939F7"/>
    <w:rsid w:val="4F6E725F"/>
    <w:rsid w:val="4F806F93"/>
    <w:rsid w:val="4F813243"/>
    <w:rsid w:val="4F895E47"/>
    <w:rsid w:val="4F905428"/>
    <w:rsid w:val="4F9273F2"/>
    <w:rsid w:val="4F9D5D96"/>
    <w:rsid w:val="4FAB400F"/>
    <w:rsid w:val="4FB35E7A"/>
    <w:rsid w:val="4FB8497E"/>
    <w:rsid w:val="4FCD667C"/>
    <w:rsid w:val="4FD07F1A"/>
    <w:rsid w:val="4FD35314"/>
    <w:rsid w:val="4FD74E04"/>
    <w:rsid w:val="4FD95020"/>
    <w:rsid w:val="4FEC63D6"/>
    <w:rsid w:val="4FEE65F2"/>
    <w:rsid w:val="4FF260E2"/>
    <w:rsid w:val="4FF43C08"/>
    <w:rsid w:val="4FFA0AF3"/>
    <w:rsid w:val="4FFD6F40"/>
    <w:rsid w:val="50016325"/>
    <w:rsid w:val="5003209D"/>
    <w:rsid w:val="50055E16"/>
    <w:rsid w:val="50242014"/>
    <w:rsid w:val="50250266"/>
    <w:rsid w:val="502E69EF"/>
    <w:rsid w:val="50320A51"/>
    <w:rsid w:val="503C7D20"/>
    <w:rsid w:val="50406E4E"/>
    <w:rsid w:val="50454464"/>
    <w:rsid w:val="504900D3"/>
    <w:rsid w:val="506230F3"/>
    <w:rsid w:val="50642410"/>
    <w:rsid w:val="506F14E1"/>
    <w:rsid w:val="507B7E86"/>
    <w:rsid w:val="507C775A"/>
    <w:rsid w:val="50970679"/>
    <w:rsid w:val="50A078EC"/>
    <w:rsid w:val="50A849F3"/>
    <w:rsid w:val="50AF4CDE"/>
    <w:rsid w:val="50B60EBE"/>
    <w:rsid w:val="50BB2978"/>
    <w:rsid w:val="50C431DE"/>
    <w:rsid w:val="50C874A7"/>
    <w:rsid w:val="50D11C9A"/>
    <w:rsid w:val="50E05F3B"/>
    <w:rsid w:val="50E21CB3"/>
    <w:rsid w:val="50EF43D0"/>
    <w:rsid w:val="50F07DF4"/>
    <w:rsid w:val="510F6820"/>
    <w:rsid w:val="51134562"/>
    <w:rsid w:val="5116195C"/>
    <w:rsid w:val="51254295"/>
    <w:rsid w:val="51387B25"/>
    <w:rsid w:val="513F7105"/>
    <w:rsid w:val="514E7348"/>
    <w:rsid w:val="515406D7"/>
    <w:rsid w:val="515D3A2F"/>
    <w:rsid w:val="515D57DD"/>
    <w:rsid w:val="51654692"/>
    <w:rsid w:val="516721B8"/>
    <w:rsid w:val="5176689F"/>
    <w:rsid w:val="517D63FD"/>
    <w:rsid w:val="51894824"/>
    <w:rsid w:val="51A056CA"/>
    <w:rsid w:val="51A52CE0"/>
    <w:rsid w:val="51AA02F7"/>
    <w:rsid w:val="51B82A14"/>
    <w:rsid w:val="51C23892"/>
    <w:rsid w:val="51E25CE3"/>
    <w:rsid w:val="51E63A25"/>
    <w:rsid w:val="51E657D3"/>
    <w:rsid w:val="51EB103B"/>
    <w:rsid w:val="51EE7B4E"/>
    <w:rsid w:val="51F83758"/>
    <w:rsid w:val="51FF0643"/>
    <w:rsid w:val="521560B8"/>
    <w:rsid w:val="521B6B6B"/>
    <w:rsid w:val="521E31BF"/>
    <w:rsid w:val="522B58DB"/>
    <w:rsid w:val="522E0F28"/>
    <w:rsid w:val="52374280"/>
    <w:rsid w:val="523A78CD"/>
    <w:rsid w:val="523D116B"/>
    <w:rsid w:val="523E73BD"/>
    <w:rsid w:val="5256651D"/>
    <w:rsid w:val="52592449"/>
    <w:rsid w:val="525F5585"/>
    <w:rsid w:val="525F7333"/>
    <w:rsid w:val="526238F8"/>
    <w:rsid w:val="526E3BD0"/>
    <w:rsid w:val="5272350A"/>
    <w:rsid w:val="5281374D"/>
    <w:rsid w:val="52864BB8"/>
    <w:rsid w:val="52892F5B"/>
    <w:rsid w:val="529214B7"/>
    <w:rsid w:val="52A15B9E"/>
    <w:rsid w:val="52B256B5"/>
    <w:rsid w:val="52BD1C5A"/>
    <w:rsid w:val="52CF6267"/>
    <w:rsid w:val="52DB10B0"/>
    <w:rsid w:val="52E71802"/>
    <w:rsid w:val="52EF06B7"/>
    <w:rsid w:val="52EF6909"/>
    <w:rsid w:val="52F17409"/>
    <w:rsid w:val="52F61709"/>
    <w:rsid w:val="53051C89"/>
    <w:rsid w:val="530F0207"/>
    <w:rsid w:val="5325057D"/>
    <w:rsid w:val="534517EE"/>
    <w:rsid w:val="535E75EB"/>
    <w:rsid w:val="53656BCB"/>
    <w:rsid w:val="536746F1"/>
    <w:rsid w:val="53762B86"/>
    <w:rsid w:val="5379601D"/>
    <w:rsid w:val="537961D3"/>
    <w:rsid w:val="537F7C8D"/>
    <w:rsid w:val="53807561"/>
    <w:rsid w:val="538B4884"/>
    <w:rsid w:val="538C05FC"/>
    <w:rsid w:val="538C23AA"/>
    <w:rsid w:val="538F3C48"/>
    <w:rsid w:val="53901E9A"/>
    <w:rsid w:val="53B4545D"/>
    <w:rsid w:val="53C438F2"/>
    <w:rsid w:val="53C9715A"/>
    <w:rsid w:val="53CE4770"/>
    <w:rsid w:val="53D61877"/>
    <w:rsid w:val="53EC109A"/>
    <w:rsid w:val="53F57F4F"/>
    <w:rsid w:val="53FC752F"/>
    <w:rsid w:val="54073585"/>
    <w:rsid w:val="540E1011"/>
    <w:rsid w:val="54224ABC"/>
    <w:rsid w:val="542425E2"/>
    <w:rsid w:val="54256D6E"/>
    <w:rsid w:val="54370568"/>
    <w:rsid w:val="545804DE"/>
    <w:rsid w:val="545C3B2A"/>
    <w:rsid w:val="54624EB9"/>
    <w:rsid w:val="5463135D"/>
    <w:rsid w:val="54696247"/>
    <w:rsid w:val="546B0211"/>
    <w:rsid w:val="54754BEC"/>
    <w:rsid w:val="54776BB6"/>
    <w:rsid w:val="547D1CF3"/>
    <w:rsid w:val="54882B71"/>
    <w:rsid w:val="548D462B"/>
    <w:rsid w:val="54931516"/>
    <w:rsid w:val="54995B0C"/>
    <w:rsid w:val="549A0AF6"/>
    <w:rsid w:val="549E2395"/>
    <w:rsid w:val="54AD4386"/>
    <w:rsid w:val="54B25E40"/>
    <w:rsid w:val="54BA4CF5"/>
    <w:rsid w:val="54CF254E"/>
    <w:rsid w:val="54D20290"/>
    <w:rsid w:val="54D97871"/>
    <w:rsid w:val="54DB7C79"/>
    <w:rsid w:val="54E56216"/>
    <w:rsid w:val="54E65AEA"/>
    <w:rsid w:val="54E74E26"/>
    <w:rsid w:val="54F975CB"/>
    <w:rsid w:val="54FF095A"/>
    <w:rsid w:val="550541C2"/>
    <w:rsid w:val="550D12C8"/>
    <w:rsid w:val="55254864"/>
    <w:rsid w:val="553920BD"/>
    <w:rsid w:val="55434CEA"/>
    <w:rsid w:val="55580A4D"/>
    <w:rsid w:val="55581995"/>
    <w:rsid w:val="555D3FFE"/>
    <w:rsid w:val="557E5D22"/>
    <w:rsid w:val="5587107B"/>
    <w:rsid w:val="558772CD"/>
    <w:rsid w:val="5588094F"/>
    <w:rsid w:val="55A7171D"/>
    <w:rsid w:val="55B45B96"/>
    <w:rsid w:val="55B94FAC"/>
    <w:rsid w:val="55C05AA3"/>
    <w:rsid w:val="55C0633B"/>
    <w:rsid w:val="55C71477"/>
    <w:rsid w:val="55D27501"/>
    <w:rsid w:val="55D342C0"/>
    <w:rsid w:val="55D41DE6"/>
    <w:rsid w:val="55D6790C"/>
    <w:rsid w:val="55DC1770"/>
    <w:rsid w:val="55DC6DCC"/>
    <w:rsid w:val="55E71B19"/>
    <w:rsid w:val="55E97640"/>
    <w:rsid w:val="55EB22AC"/>
    <w:rsid w:val="55F34962"/>
    <w:rsid w:val="55FB7373"/>
    <w:rsid w:val="55FF3307"/>
    <w:rsid w:val="56051FA0"/>
    <w:rsid w:val="561133F2"/>
    <w:rsid w:val="561641AD"/>
    <w:rsid w:val="561843C9"/>
    <w:rsid w:val="56187F25"/>
    <w:rsid w:val="561F3061"/>
    <w:rsid w:val="562543F0"/>
    <w:rsid w:val="56292132"/>
    <w:rsid w:val="562A0595"/>
    <w:rsid w:val="563D5BDD"/>
    <w:rsid w:val="5641747C"/>
    <w:rsid w:val="564B654C"/>
    <w:rsid w:val="564D4072"/>
    <w:rsid w:val="56530F5D"/>
    <w:rsid w:val="56571FFA"/>
    <w:rsid w:val="5657609B"/>
    <w:rsid w:val="56666EE2"/>
    <w:rsid w:val="56680EAC"/>
    <w:rsid w:val="567A473C"/>
    <w:rsid w:val="567F61F6"/>
    <w:rsid w:val="568455BA"/>
    <w:rsid w:val="569752EE"/>
    <w:rsid w:val="56A35AD2"/>
    <w:rsid w:val="56A417B8"/>
    <w:rsid w:val="56A92CC7"/>
    <w:rsid w:val="56A95021"/>
    <w:rsid w:val="56AB2B47"/>
    <w:rsid w:val="56B44A5A"/>
    <w:rsid w:val="56C67981"/>
    <w:rsid w:val="56CE338E"/>
    <w:rsid w:val="56D402F0"/>
    <w:rsid w:val="56D54068"/>
    <w:rsid w:val="56E147BB"/>
    <w:rsid w:val="56E16569"/>
    <w:rsid w:val="56E66275"/>
    <w:rsid w:val="56EA7B13"/>
    <w:rsid w:val="56EF42BA"/>
    <w:rsid w:val="56F269C8"/>
    <w:rsid w:val="56F52014"/>
    <w:rsid w:val="56F97D56"/>
    <w:rsid w:val="570606C5"/>
    <w:rsid w:val="5714693E"/>
    <w:rsid w:val="571B7CCD"/>
    <w:rsid w:val="57340D8E"/>
    <w:rsid w:val="57422A77"/>
    <w:rsid w:val="57633422"/>
    <w:rsid w:val="57634E12"/>
    <w:rsid w:val="57710EBA"/>
    <w:rsid w:val="5778511F"/>
    <w:rsid w:val="577C2B01"/>
    <w:rsid w:val="57821C5F"/>
    <w:rsid w:val="57853398"/>
    <w:rsid w:val="57947A7F"/>
    <w:rsid w:val="579E445A"/>
    <w:rsid w:val="57A31A70"/>
    <w:rsid w:val="57AE09B5"/>
    <w:rsid w:val="57AF2B0B"/>
    <w:rsid w:val="57B65C47"/>
    <w:rsid w:val="57B8376D"/>
    <w:rsid w:val="57BB325E"/>
    <w:rsid w:val="57BC2B32"/>
    <w:rsid w:val="57C245EC"/>
    <w:rsid w:val="57CA16F3"/>
    <w:rsid w:val="57D460CD"/>
    <w:rsid w:val="57D60097"/>
    <w:rsid w:val="57E83927"/>
    <w:rsid w:val="57EF1159"/>
    <w:rsid w:val="57FB365A"/>
    <w:rsid w:val="57FC2C7E"/>
    <w:rsid w:val="57FD73D2"/>
    <w:rsid w:val="5818420C"/>
    <w:rsid w:val="5822508B"/>
    <w:rsid w:val="583B614D"/>
    <w:rsid w:val="583B7EFB"/>
    <w:rsid w:val="58403763"/>
    <w:rsid w:val="5846521D"/>
    <w:rsid w:val="584B2834"/>
    <w:rsid w:val="584E40D2"/>
    <w:rsid w:val="58523BC2"/>
    <w:rsid w:val="585C67EF"/>
    <w:rsid w:val="58670CF0"/>
    <w:rsid w:val="586A0242"/>
    <w:rsid w:val="586B07E0"/>
    <w:rsid w:val="58733B38"/>
    <w:rsid w:val="5878114F"/>
    <w:rsid w:val="58847AF3"/>
    <w:rsid w:val="58873140"/>
    <w:rsid w:val="58921AD3"/>
    <w:rsid w:val="5898534D"/>
    <w:rsid w:val="58A40196"/>
    <w:rsid w:val="58B32187"/>
    <w:rsid w:val="58B73A25"/>
    <w:rsid w:val="58BD10F2"/>
    <w:rsid w:val="58C61EBA"/>
    <w:rsid w:val="58CD33C2"/>
    <w:rsid w:val="58D2260D"/>
    <w:rsid w:val="58EB36CF"/>
    <w:rsid w:val="58F9403E"/>
    <w:rsid w:val="58FF53CC"/>
    <w:rsid w:val="59142C25"/>
    <w:rsid w:val="591F15CA"/>
    <w:rsid w:val="591F781C"/>
    <w:rsid w:val="592D3CE7"/>
    <w:rsid w:val="59376914"/>
    <w:rsid w:val="593C217C"/>
    <w:rsid w:val="59411541"/>
    <w:rsid w:val="59441031"/>
    <w:rsid w:val="5947124D"/>
    <w:rsid w:val="594C6863"/>
    <w:rsid w:val="595079D6"/>
    <w:rsid w:val="596469D4"/>
    <w:rsid w:val="597436C4"/>
    <w:rsid w:val="597933D0"/>
    <w:rsid w:val="59853B23"/>
    <w:rsid w:val="598633F7"/>
    <w:rsid w:val="59A85A64"/>
    <w:rsid w:val="59AD307A"/>
    <w:rsid w:val="59BF753B"/>
    <w:rsid w:val="59C12681"/>
    <w:rsid w:val="59CD7278"/>
    <w:rsid w:val="59F26FBD"/>
    <w:rsid w:val="59F36CDF"/>
    <w:rsid w:val="59F91E1B"/>
    <w:rsid w:val="59FD190B"/>
    <w:rsid w:val="5A24333C"/>
    <w:rsid w:val="5A421A14"/>
    <w:rsid w:val="5A435D8A"/>
    <w:rsid w:val="5A513A05"/>
    <w:rsid w:val="5A5A6D5E"/>
    <w:rsid w:val="5A6E45B7"/>
    <w:rsid w:val="5A7140A7"/>
    <w:rsid w:val="5A7476F4"/>
    <w:rsid w:val="5A751DEA"/>
    <w:rsid w:val="5A783688"/>
    <w:rsid w:val="5A79263B"/>
    <w:rsid w:val="5A7A11AE"/>
    <w:rsid w:val="5A845B89"/>
    <w:rsid w:val="5A9164F8"/>
    <w:rsid w:val="5A932270"/>
    <w:rsid w:val="5A987886"/>
    <w:rsid w:val="5AB50438"/>
    <w:rsid w:val="5AC73CC7"/>
    <w:rsid w:val="5AC8016B"/>
    <w:rsid w:val="5AD07020"/>
    <w:rsid w:val="5AD33626"/>
    <w:rsid w:val="5AD85ED5"/>
    <w:rsid w:val="5ADD34EB"/>
    <w:rsid w:val="5AE34FA5"/>
    <w:rsid w:val="5AF251E8"/>
    <w:rsid w:val="5B0B44FC"/>
    <w:rsid w:val="5B0E7B48"/>
    <w:rsid w:val="5B1E422F"/>
    <w:rsid w:val="5B2353A2"/>
    <w:rsid w:val="5B296730"/>
    <w:rsid w:val="5B4377F2"/>
    <w:rsid w:val="5B5639C9"/>
    <w:rsid w:val="5B6B6D49"/>
    <w:rsid w:val="5B800A46"/>
    <w:rsid w:val="5B8027F4"/>
    <w:rsid w:val="5B8464BB"/>
    <w:rsid w:val="5B9444F1"/>
    <w:rsid w:val="5BBC1D09"/>
    <w:rsid w:val="5BC22E0D"/>
    <w:rsid w:val="5BC621D1"/>
    <w:rsid w:val="5BC76675"/>
    <w:rsid w:val="5BCB77E7"/>
    <w:rsid w:val="5BF705DC"/>
    <w:rsid w:val="5BFD3E45"/>
    <w:rsid w:val="5C292E8C"/>
    <w:rsid w:val="5C3227A4"/>
    <w:rsid w:val="5C337866"/>
    <w:rsid w:val="5C34380B"/>
    <w:rsid w:val="5C3E7830"/>
    <w:rsid w:val="5C427AAA"/>
    <w:rsid w:val="5C514191"/>
    <w:rsid w:val="5C58551F"/>
    <w:rsid w:val="5C5D48E3"/>
    <w:rsid w:val="5C69772C"/>
    <w:rsid w:val="5C9B365E"/>
    <w:rsid w:val="5CAB38A1"/>
    <w:rsid w:val="5CBC60F5"/>
    <w:rsid w:val="5CC52620"/>
    <w:rsid w:val="5CC606DB"/>
    <w:rsid w:val="5CC901CB"/>
    <w:rsid w:val="5CD821BC"/>
    <w:rsid w:val="5CE648D9"/>
    <w:rsid w:val="5CE768A3"/>
    <w:rsid w:val="5CF039A9"/>
    <w:rsid w:val="5CFC6999"/>
    <w:rsid w:val="5D123920"/>
    <w:rsid w:val="5D177188"/>
    <w:rsid w:val="5D184CAE"/>
    <w:rsid w:val="5D235B2D"/>
    <w:rsid w:val="5D2E6280"/>
    <w:rsid w:val="5D30024A"/>
    <w:rsid w:val="5D375134"/>
    <w:rsid w:val="5D4B5084"/>
    <w:rsid w:val="5D683540"/>
    <w:rsid w:val="5D700646"/>
    <w:rsid w:val="5D7A14C5"/>
    <w:rsid w:val="5D7A7717"/>
    <w:rsid w:val="5D7E2D63"/>
    <w:rsid w:val="5D812854"/>
    <w:rsid w:val="5D8B5480"/>
    <w:rsid w:val="5D995DEF"/>
    <w:rsid w:val="5DAA1DAA"/>
    <w:rsid w:val="5DAA7FFC"/>
    <w:rsid w:val="5DB06C95"/>
    <w:rsid w:val="5DB46785"/>
    <w:rsid w:val="5DBE5856"/>
    <w:rsid w:val="5DD260ED"/>
    <w:rsid w:val="5DDC7A8A"/>
    <w:rsid w:val="5DE0757A"/>
    <w:rsid w:val="5DE11544"/>
    <w:rsid w:val="5DE66B5A"/>
    <w:rsid w:val="5DED613B"/>
    <w:rsid w:val="5DEF1EB3"/>
    <w:rsid w:val="5E007C1C"/>
    <w:rsid w:val="5E127950"/>
    <w:rsid w:val="5E2A2EEB"/>
    <w:rsid w:val="5E3FDF58"/>
    <w:rsid w:val="5E40270F"/>
    <w:rsid w:val="5E425939"/>
    <w:rsid w:val="5E4C2E61"/>
    <w:rsid w:val="5E4D2736"/>
    <w:rsid w:val="5E56783C"/>
    <w:rsid w:val="5E5A37D0"/>
    <w:rsid w:val="5E6A4F38"/>
    <w:rsid w:val="5E806FF0"/>
    <w:rsid w:val="5E841E57"/>
    <w:rsid w:val="5E8A5738"/>
    <w:rsid w:val="5E993BCD"/>
    <w:rsid w:val="5E9B7945"/>
    <w:rsid w:val="5EA7453C"/>
    <w:rsid w:val="5EAC1B52"/>
    <w:rsid w:val="5ECC3FA2"/>
    <w:rsid w:val="5ED115B9"/>
    <w:rsid w:val="5EE170C4"/>
    <w:rsid w:val="5EE96902"/>
    <w:rsid w:val="5F047298"/>
    <w:rsid w:val="5F061262"/>
    <w:rsid w:val="5F180F96"/>
    <w:rsid w:val="5F2913F5"/>
    <w:rsid w:val="5F2B2A77"/>
    <w:rsid w:val="5F381638"/>
    <w:rsid w:val="5F4104EC"/>
    <w:rsid w:val="5F5712E5"/>
    <w:rsid w:val="5F585836"/>
    <w:rsid w:val="5F610B8F"/>
    <w:rsid w:val="5F645F89"/>
    <w:rsid w:val="5F6661A5"/>
    <w:rsid w:val="5F700DD2"/>
    <w:rsid w:val="5F781A34"/>
    <w:rsid w:val="5F7F1015"/>
    <w:rsid w:val="5F8623A3"/>
    <w:rsid w:val="5F8A0857"/>
    <w:rsid w:val="5F8D1984"/>
    <w:rsid w:val="5F8E1258"/>
    <w:rsid w:val="5F912AC4"/>
    <w:rsid w:val="5FB05672"/>
    <w:rsid w:val="5FB07420"/>
    <w:rsid w:val="5FBB641C"/>
    <w:rsid w:val="5FBE38EB"/>
    <w:rsid w:val="5FBF1411"/>
    <w:rsid w:val="5FBF7663"/>
    <w:rsid w:val="5FD14724"/>
    <w:rsid w:val="5FDB26EF"/>
    <w:rsid w:val="5FE1582B"/>
    <w:rsid w:val="5FEF8784"/>
    <w:rsid w:val="5FF11F12"/>
    <w:rsid w:val="5FF217E7"/>
    <w:rsid w:val="5FF67529"/>
    <w:rsid w:val="5FF870D3"/>
    <w:rsid w:val="5FFE462F"/>
    <w:rsid w:val="5FFE63DD"/>
    <w:rsid w:val="60200102"/>
    <w:rsid w:val="602A0F80"/>
    <w:rsid w:val="602C2F4B"/>
    <w:rsid w:val="602D6CC3"/>
    <w:rsid w:val="603911C4"/>
    <w:rsid w:val="603E77D5"/>
    <w:rsid w:val="6062071A"/>
    <w:rsid w:val="60700F30"/>
    <w:rsid w:val="60714E01"/>
    <w:rsid w:val="607B7DDA"/>
    <w:rsid w:val="608508AD"/>
    <w:rsid w:val="608925BA"/>
    <w:rsid w:val="6098238E"/>
    <w:rsid w:val="609B19AB"/>
    <w:rsid w:val="60A725D1"/>
    <w:rsid w:val="60AC408B"/>
    <w:rsid w:val="60C34F31"/>
    <w:rsid w:val="60D809DC"/>
    <w:rsid w:val="60D96503"/>
    <w:rsid w:val="60DA0BF8"/>
    <w:rsid w:val="60DF1D6B"/>
    <w:rsid w:val="60E23609"/>
    <w:rsid w:val="60E43825"/>
    <w:rsid w:val="60EA0710"/>
    <w:rsid w:val="60F375C4"/>
    <w:rsid w:val="610B7004"/>
    <w:rsid w:val="610F0176"/>
    <w:rsid w:val="61120392"/>
    <w:rsid w:val="61161505"/>
    <w:rsid w:val="611F485D"/>
    <w:rsid w:val="612105D5"/>
    <w:rsid w:val="61243C22"/>
    <w:rsid w:val="613100ED"/>
    <w:rsid w:val="613227E3"/>
    <w:rsid w:val="61363955"/>
    <w:rsid w:val="613D2F35"/>
    <w:rsid w:val="6142679E"/>
    <w:rsid w:val="61453B98"/>
    <w:rsid w:val="6155202D"/>
    <w:rsid w:val="615B25E0"/>
    <w:rsid w:val="615F10FE"/>
    <w:rsid w:val="616B7AA3"/>
    <w:rsid w:val="61736957"/>
    <w:rsid w:val="61946FF9"/>
    <w:rsid w:val="61952D71"/>
    <w:rsid w:val="61A11716"/>
    <w:rsid w:val="61A76748"/>
    <w:rsid w:val="61AE798F"/>
    <w:rsid w:val="61BD7BD2"/>
    <w:rsid w:val="61C13B66"/>
    <w:rsid w:val="61C64A0E"/>
    <w:rsid w:val="61CD6067"/>
    <w:rsid w:val="61D92C5E"/>
    <w:rsid w:val="61E41603"/>
    <w:rsid w:val="61ED6709"/>
    <w:rsid w:val="61EE422E"/>
    <w:rsid w:val="61F93300"/>
    <w:rsid w:val="621023F8"/>
    <w:rsid w:val="621C0D9D"/>
    <w:rsid w:val="621E4B15"/>
    <w:rsid w:val="621E68C3"/>
    <w:rsid w:val="623356EF"/>
    <w:rsid w:val="62377985"/>
    <w:rsid w:val="62465E1A"/>
    <w:rsid w:val="624D53FA"/>
    <w:rsid w:val="62514EEA"/>
    <w:rsid w:val="62586279"/>
    <w:rsid w:val="6267026A"/>
    <w:rsid w:val="626A529E"/>
    <w:rsid w:val="627B1F67"/>
    <w:rsid w:val="628C5F22"/>
    <w:rsid w:val="629923ED"/>
    <w:rsid w:val="6299419B"/>
    <w:rsid w:val="629E5C56"/>
    <w:rsid w:val="62B731FE"/>
    <w:rsid w:val="62B80AC5"/>
    <w:rsid w:val="62B965EC"/>
    <w:rsid w:val="62C751AC"/>
    <w:rsid w:val="62C92CD3"/>
    <w:rsid w:val="62CF4061"/>
    <w:rsid w:val="62CF7BBD"/>
    <w:rsid w:val="62DD677E"/>
    <w:rsid w:val="62E0001C"/>
    <w:rsid w:val="62E25B42"/>
    <w:rsid w:val="62E418BB"/>
    <w:rsid w:val="62EE2739"/>
    <w:rsid w:val="63023C80"/>
    <w:rsid w:val="63091321"/>
    <w:rsid w:val="63147CC6"/>
    <w:rsid w:val="632E0D88"/>
    <w:rsid w:val="632E2B36"/>
    <w:rsid w:val="632F68AE"/>
    <w:rsid w:val="63387E58"/>
    <w:rsid w:val="633F11E7"/>
    <w:rsid w:val="63422A85"/>
    <w:rsid w:val="63495BC1"/>
    <w:rsid w:val="635011B8"/>
    <w:rsid w:val="63691DC0"/>
    <w:rsid w:val="63696264"/>
    <w:rsid w:val="636D3AA1"/>
    <w:rsid w:val="636E387A"/>
    <w:rsid w:val="63754C08"/>
    <w:rsid w:val="639F1C85"/>
    <w:rsid w:val="63A252D2"/>
    <w:rsid w:val="63AD6150"/>
    <w:rsid w:val="63B23767"/>
    <w:rsid w:val="63CB65D6"/>
    <w:rsid w:val="63CD05A1"/>
    <w:rsid w:val="63D556A7"/>
    <w:rsid w:val="63DC6A36"/>
    <w:rsid w:val="63DF02D4"/>
    <w:rsid w:val="63E15DFA"/>
    <w:rsid w:val="63E31B72"/>
    <w:rsid w:val="63E458EA"/>
    <w:rsid w:val="63E47698"/>
    <w:rsid w:val="63EF49BB"/>
    <w:rsid w:val="63F26259"/>
    <w:rsid w:val="63FA6EBC"/>
    <w:rsid w:val="641066DF"/>
    <w:rsid w:val="64137F7D"/>
    <w:rsid w:val="64153CF6"/>
    <w:rsid w:val="64243EEB"/>
    <w:rsid w:val="64264155"/>
    <w:rsid w:val="643248A8"/>
    <w:rsid w:val="64487C27"/>
    <w:rsid w:val="6453662C"/>
    <w:rsid w:val="645A5BAC"/>
    <w:rsid w:val="6472739A"/>
    <w:rsid w:val="647924D6"/>
    <w:rsid w:val="647C1FC7"/>
    <w:rsid w:val="64813139"/>
    <w:rsid w:val="648A6492"/>
    <w:rsid w:val="648C045C"/>
    <w:rsid w:val="648D1ADE"/>
    <w:rsid w:val="648F1CFA"/>
    <w:rsid w:val="64B41760"/>
    <w:rsid w:val="64B61035"/>
    <w:rsid w:val="64CC0858"/>
    <w:rsid w:val="64DE2339"/>
    <w:rsid w:val="64DF4A2F"/>
    <w:rsid w:val="64F102BF"/>
    <w:rsid w:val="64F22548"/>
    <w:rsid w:val="64F61D79"/>
    <w:rsid w:val="64F953C5"/>
    <w:rsid w:val="65006754"/>
    <w:rsid w:val="6502427A"/>
    <w:rsid w:val="65071890"/>
    <w:rsid w:val="650A312E"/>
    <w:rsid w:val="651638D5"/>
    <w:rsid w:val="651641C9"/>
    <w:rsid w:val="651B533C"/>
    <w:rsid w:val="651E4E2C"/>
    <w:rsid w:val="653308D7"/>
    <w:rsid w:val="6535464F"/>
    <w:rsid w:val="653A7EB8"/>
    <w:rsid w:val="654900FB"/>
    <w:rsid w:val="65554CF2"/>
    <w:rsid w:val="656062CA"/>
    <w:rsid w:val="65646CE3"/>
    <w:rsid w:val="65670581"/>
    <w:rsid w:val="657726F5"/>
    <w:rsid w:val="658253BB"/>
    <w:rsid w:val="65876E75"/>
    <w:rsid w:val="65901886"/>
    <w:rsid w:val="659106E2"/>
    <w:rsid w:val="6593581A"/>
    <w:rsid w:val="659B022A"/>
    <w:rsid w:val="65A17F37"/>
    <w:rsid w:val="65AB236D"/>
    <w:rsid w:val="65AB66C0"/>
    <w:rsid w:val="65B8080F"/>
    <w:rsid w:val="65C15EE3"/>
    <w:rsid w:val="65C6799D"/>
    <w:rsid w:val="65C77271"/>
    <w:rsid w:val="65CE23AE"/>
    <w:rsid w:val="65D025CA"/>
    <w:rsid w:val="65D774B5"/>
    <w:rsid w:val="65DA349F"/>
    <w:rsid w:val="65DC2D1D"/>
    <w:rsid w:val="65E46075"/>
    <w:rsid w:val="65EB4803"/>
    <w:rsid w:val="65FA7647"/>
    <w:rsid w:val="65FE23A4"/>
    <w:rsid w:val="65FF07B9"/>
    <w:rsid w:val="66012783"/>
    <w:rsid w:val="6603474E"/>
    <w:rsid w:val="66100C18"/>
    <w:rsid w:val="66106E6A"/>
    <w:rsid w:val="6612673F"/>
    <w:rsid w:val="661701F9"/>
    <w:rsid w:val="66171FA7"/>
    <w:rsid w:val="661E3335"/>
    <w:rsid w:val="662621EA"/>
    <w:rsid w:val="662841B4"/>
    <w:rsid w:val="66285F62"/>
    <w:rsid w:val="664803B2"/>
    <w:rsid w:val="66483EC5"/>
    <w:rsid w:val="665156DB"/>
    <w:rsid w:val="667016B7"/>
    <w:rsid w:val="66704DB4"/>
    <w:rsid w:val="66707909"/>
    <w:rsid w:val="669B2BD8"/>
    <w:rsid w:val="669C425A"/>
    <w:rsid w:val="66AA2E1B"/>
    <w:rsid w:val="66B43C9A"/>
    <w:rsid w:val="66BA3F4B"/>
    <w:rsid w:val="66CC0FE3"/>
    <w:rsid w:val="66CD4D5B"/>
    <w:rsid w:val="66DC6D4D"/>
    <w:rsid w:val="66DD4F9F"/>
    <w:rsid w:val="66E856F1"/>
    <w:rsid w:val="66ED2D08"/>
    <w:rsid w:val="66FC49D5"/>
    <w:rsid w:val="6707201B"/>
    <w:rsid w:val="67102453"/>
    <w:rsid w:val="671309C0"/>
    <w:rsid w:val="672C55DE"/>
    <w:rsid w:val="67395F4D"/>
    <w:rsid w:val="674E19F8"/>
    <w:rsid w:val="675863D3"/>
    <w:rsid w:val="6760172C"/>
    <w:rsid w:val="676E5BF7"/>
    <w:rsid w:val="677F7E04"/>
    <w:rsid w:val="6780592A"/>
    <w:rsid w:val="67852F40"/>
    <w:rsid w:val="67AA29A7"/>
    <w:rsid w:val="67B0620F"/>
    <w:rsid w:val="67B11F87"/>
    <w:rsid w:val="67B657F0"/>
    <w:rsid w:val="67BC2E06"/>
    <w:rsid w:val="67BC74E5"/>
    <w:rsid w:val="67D0065F"/>
    <w:rsid w:val="67D0240D"/>
    <w:rsid w:val="67E1461B"/>
    <w:rsid w:val="67E73BFB"/>
    <w:rsid w:val="67EA2F3D"/>
    <w:rsid w:val="67EE0AE5"/>
    <w:rsid w:val="67FD51CC"/>
    <w:rsid w:val="68000819"/>
    <w:rsid w:val="680447AD"/>
    <w:rsid w:val="6808154B"/>
    <w:rsid w:val="68126ECA"/>
    <w:rsid w:val="682E182A"/>
    <w:rsid w:val="683706DE"/>
    <w:rsid w:val="68495676"/>
    <w:rsid w:val="684B418A"/>
    <w:rsid w:val="68580655"/>
    <w:rsid w:val="685968A7"/>
    <w:rsid w:val="685A261F"/>
    <w:rsid w:val="68680898"/>
    <w:rsid w:val="68694610"/>
    <w:rsid w:val="68725BBA"/>
    <w:rsid w:val="688558EE"/>
    <w:rsid w:val="68880F3A"/>
    <w:rsid w:val="688F051A"/>
    <w:rsid w:val="68907DEF"/>
    <w:rsid w:val="68914293"/>
    <w:rsid w:val="68945B31"/>
    <w:rsid w:val="68A67F29"/>
    <w:rsid w:val="68AA7102"/>
    <w:rsid w:val="68B25FB7"/>
    <w:rsid w:val="68B7537B"/>
    <w:rsid w:val="68B95597"/>
    <w:rsid w:val="68C15CCA"/>
    <w:rsid w:val="68DB3760"/>
    <w:rsid w:val="68E1689C"/>
    <w:rsid w:val="68E65C61"/>
    <w:rsid w:val="68F24605"/>
    <w:rsid w:val="68F6059A"/>
    <w:rsid w:val="69076303"/>
    <w:rsid w:val="690C3919"/>
    <w:rsid w:val="69192872"/>
    <w:rsid w:val="6922313D"/>
    <w:rsid w:val="692F13B6"/>
    <w:rsid w:val="6931512E"/>
    <w:rsid w:val="693410C2"/>
    <w:rsid w:val="693764BC"/>
    <w:rsid w:val="694C640B"/>
    <w:rsid w:val="696077C1"/>
    <w:rsid w:val="696939B3"/>
    <w:rsid w:val="697D619C"/>
    <w:rsid w:val="697D65C5"/>
    <w:rsid w:val="69807E63"/>
    <w:rsid w:val="6985191D"/>
    <w:rsid w:val="698711F2"/>
    <w:rsid w:val="698A0CE2"/>
    <w:rsid w:val="698C2CAC"/>
    <w:rsid w:val="699F1009"/>
    <w:rsid w:val="69C45FA2"/>
    <w:rsid w:val="69C51D1A"/>
    <w:rsid w:val="69D106BF"/>
    <w:rsid w:val="69D16911"/>
    <w:rsid w:val="69D65CD5"/>
    <w:rsid w:val="69DD52B6"/>
    <w:rsid w:val="69E623BC"/>
    <w:rsid w:val="69E76134"/>
    <w:rsid w:val="69EE3D79"/>
    <w:rsid w:val="6A024D1C"/>
    <w:rsid w:val="6A042842"/>
    <w:rsid w:val="6A0E091D"/>
    <w:rsid w:val="6A0E1913"/>
    <w:rsid w:val="6A1B7B8C"/>
    <w:rsid w:val="6A1D3904"/>
    <w:rsid w:val="6A2A0638"/>
    <w:rsid w:val="6A366774"/>
    <w:rsid w:val="6A3B3D8A"/>
    <w:rsid w:val="6A3D3FA6"/>
    <w:rsid w:val="6A3F7A6B"/>
    <w:rsid w:val="6A4175F2"/>
    <w:rsid w:val="6A527A52"/>
    <w:rsid w:val="6A5A4B58"/>
    <w:rsid w:val="6A876FCF"/>
    <w:rsid w:val="6A8D0A8A"/>
    <w:rsid w:val="6A9260A0"/>
    <w:rsid w:val="6AA54025"/>
    <w:rsid w:val="6AB37DC4"/>
    <w:rsid w:val="6ABA50AD"/>
    <w:rsid w:val="6AC16985"/>
    <w:rsid w:val="6AC2226C"/>
    <w:rsid w:val="6AC50223"/>
    <w:rsid w:val="6ACB7804"/>
    <w:rsid w:val="6AD541DF"/>
    <w:rsid w:val="6ADC248F"/>
    <w:rsid w:val="6ADC731B"/>
    <w:rsid w:val="6AE306AA"/>
    <w:rsid w:val="6AEB3A02"/>
    <w:rsid w:val="6AF44665"/>
    <w:rsid w:val="6B014FD4"/>
    <w:rsid w:val="6B122D3D"/>
    <w:rsid w:val="6B15282D"/>
    <w:rsid w:val="6B166CD1"/>
    <w:rsid w:val="6B2233D4"/>
    <w:rsid w:val="6B2667E8"/>
    <w:rsid w:val="6B2F38EF"/>
    <w:rsid w:val="6B3B6738"/>
    <w:rsid w:val="6B3D425E"/>
    <w:rsid w:val="6B486350"/>
    <w:rsid w:val="6B525C47"/>
    <w:rsid w:val="6B58725B"/>
    <w:rsid w:val="6B673089"/>
    <w:rsid w:val="6B713F07"/>
    <w:rsid w:val="6B7E7E55"/>
    <w:rsid w:val="6B826114"/>
    <w:rsid w:val="6B8A321B"/>
    <w:rsid w:val="6B95409A"/>
    <w:rsid w:val="6BA94127"/>
    <w:rsid w:val="6BAA7419"/>
    <w:rsid w:val="6BAE6F0A"/>
    <w:rsid w:val="6BB107A8"/>
    <w:rsid w:val="6BB169FA"/>
    <w:rsid w:val="6BC04E8F"/>
    <w:rsid w:val="6BC93D43"/>
    <w:rsid w:val="6BCE3108"/>
    <w:rsid w:val="6BD12BF8"/>
    <w:rsid w:val="6BD36970"/>
    <w:rsid w:val="6BD9385B"/>
    <w:rsid w:val="6BE04BE9"/>
    <w:rsid w:val="6BE566A3"/>
    <w:rsid w:val="6BFE46EA"/>
    <w:rsid w:val="6C094140"/>
    <w:rsid w:val="6C184383"/>
    <w:rsid w:val="6C1C0317"/>
    <w:rsid w:val="6C21592D"/>
    <w:rsid w:val="6C296590"/>
    <w:rsid w:val="6C327B3B"/>
    <w:rsid w:val="6C3A079D"/>
    <w:rsid w:val="6C3B104D"/>
    <w:rsid w:val="6C3B62C3"/>
    <w:rsid w:val="6C3D203B"/>
    <w:rsid w:val="6C4B4758"/>
    <w:rsid w:val="6C526EDC"/>
    <w:rsid w:val="6C557385"/>
    <w:rsid w:val="6C5F6456"/>
    <w:rsid w:val="6C70130D"/>
    <w:rsid w:val="6C7D4B2E"/>
    <w:rsid w:val="6C7F53F2"/>
    <w:rsid w:val="6C8B20CC"/>
    <w:rsid w:val="6C951E77"/>
    <w:rsid w:val="6C9C3206"/>
    <w:rsid w:val="6CA247C8"/>
    <w:rsid w:val="6CA4030D"/>
    <w:rsid w:val="6CA74CA3"/>
    <w:rsid w:val="6CAE2F39"/>
    <w:rsid w:val="6CB00A5F"/>
    <w:rsid w:val="6CB322FE"/>
    <w:rsid w:val="6CB70040"/>
    <w:rsid w:val="6CC22541"/>
    <w:rsid w:val="6CD24E7A"/>
    <w:rsid w:val="6CDC3602"/>
    <w:rsid w:val="6CE34991"/>
    <w:rsid w:val="6CE626D3"/>
    <w:rsid w:val="6CE66763"/>
    <w:rsid w:val="6CEB1A97"/>
    <w:rsid w:val="6CEE3336"/>
    <w:rsid w:val="6CF46B9E"/>
    <w:rsid w:val="6CF50B68"/>
    <w:rsid w:val="6CFD412D"/>
    <w:rsid w:val="6D090170"/>
    <w:rsid w:val="6D0D1A0E"/>
    <w:rsid w:val="6D0F1C2A"/>
    <w:rsid w:val="6D2F7BD6"/>
    <w:rsid w:val="6D323B6A"/>
    <w:rsid w:val="6D5E04BB"/>
    <w:rsid w:val="6D673814"/>
    <w:rsid w:val="6D6F26C8"/>
    <w:rsid w:val="6D741A8D"/>
    <w:rsid w:val="6D836174"/>
    <w:rsid w:val="6D855A48"/>
    <w:rsid w:val="6D8C5028"/>
    <w:rsid w:val="6D8E2EFE"/>
    <w:rsid w:val="6D8F68C7"/>
    <w:rsid w:val="6D981C1F"/>
    <w:rsid w:val="6D9914F3"/>
    <w:rsid w:val="6D9E4D5C"/>
    <w:rsid w:val="6D9E6B0A"/>
    <w:rsid w:val="6DA71E62"/>
    <w:rsid w:val="6DA86676"/>
    <w:rsid w:val="6DB602F7"/>
    <w:rsid w:val="6DBD1686"/>
    <w:rsid w:val="6DC76061"/>
    <w:rsid w:val="6DCC3677"/>
    <w:rsid w:val="6DDD7632"/>
    <w:rsid w:val="6DDE15FC"/>
    <w:rsid w:val="6DF64B98"/>
    <w:rsid w:val="6E001573"/>
    <w:rsid w:val="6E0B0643"/>
    <w:rsid w:val="6E0E0133"/>
    <w:rsid w:val="6E166FE8"/>
    <w:rsid w:val="6E1B63AC"/>
    <w:rsid w:val="6E25722B"/>
    <w:rsid w:val="6E2617EE"/>
    <w:rsid w:val="6E2C05BA"/>
    <w:rsid w:val="6E396833"/>
    <w:rsid w:val="6E5C0E9F"/>
    <w:rsid w:val="6E5F098F"/>
    <w:rsid w:val="6E5F273D"/>
    <w:rsid w:val="6E602011"/>
    <w:rsid w:val="6E712470"/>
    <w:rsid w:val="6E737F96"/>
    <w:rsid w:val="6E7D0E15"/>
    <w:rsid w:val="6E8757F0"/>
    <w:rsid w:val="6E9248C1"/>
    <w:rsid w:val="6E9543B1"/>
    <w:rsid w:val="6E9F2B3A"/>
    <w:rsid w:val="6E9F6595"/>
    <w:rsid w:val="6E9F6FDD"/>
    <w:rsid w:val="6EA14B04"/>
    <w:rsid w:val="6EAB7730"/>
    <w:rsid w:val="6EB000E1"/>
    <w:rsid w:val="6EB02F99"/>
    <w:rsid w:val="6EBE3907"/>
    <w:rsid w:val="6EC151A6"/>
    <w:rsid w:val="6EC3758C"/>
    <w:rsid w:val="6EC95E08"/>
    <w:rsid w:val="6ECD3B4B"/>
    <w:rsid w:val="6EE13152"/>
    <w:rsid w:val="6EE36ECA"/>
    <w:rsid w:val="6F0137F4"/>
    <w:rsid w:val="6F174DC6"/>
    <w:rsid w:val="6F1A48B6"/>
    <w:rsid w:val="6F1F65C5"/>
    <w:rsid w:val="6F213E96"/>
    <w:rsid w:val="6F4162E7"/>
    <w:rsid w:val="6F435BBB"/>
    <w:rsid w:val="6F480127"/>
    <w:rsid w:val="6F4B4A6F"/>
    <w:rsid w:val="6F5E29F5"/>
    <w:rsid w:val="6F63000B"/>
    <w:rsid w:val="6F7A59FB"/>
    <w:rsid w:val="6F7C10CD"/>
    <w:rsid w:val="6F885CC3"/>
    <w:rsid w:val="6F9401C4"/>
    <w:rsid w:val="6FCA62DC"/>
    <w:rsid w:val="6FE56C72"/>
    <w:rsid w:val="6FE653D7"/>
    <w:rsid w:val="6FEF5D43"/>
    <w:rsid w:val="70117A67"/>
    <w:rsid w:val="70182BA3"/>
    <w:rsid w:val="7023779A"/>
    <w:rsid w:val="702754DC"/>
    <w:rsid w:val="70291255"/>
    <w:rsid w:val="70293003"/>
    <w:rsid w:val="702A0B29"/>
    <w:rsid w:val="703674CE"/>
    <w:rsid w:val="704217E5"/>
    <w:rsid w:val="704936A5"/>
    <w:rsid w:val="704E73AD"/>
    <w:rsid w:val="705D2CAC"/>
    <w:rsid w:val="70666005"/>
    <w:rsid w:val="70704095"/>
    <w:rsid w:val="709A5CAE"/>
    <w:rsid w:val="70A66401"/>
    <w:rsid w:val="70A95EF1"/>
    <w:rsid w:val="70B07280"/>
    <w:rsid w:val="70B30B1E"/>
    <w:rsid w:val="70BA3C5B"/>
    <w:rsid w:val="70C64CF5"/>
    <w:rsid w:val="70CD5DAB"/>
    <w:rsid w:val="70D23D73"/>
    <w:rsid w:val="70E92792"/>
    <w:rsid w:val="70EA25AB"/>
    <w:rsid w:val="70F76C5D"/>
    <w:rsid w:val="70FC0717"/>
    <w:rsid w:val="70FD7FEB"/>
    <w:rsid w:val="70FE623D"/>
    <w:rsid w:val="70FF3D63"/>
    <w:rsid w:val="71080E6A"/>
    <w:rsid w:val="71106C43"/>
    <w:rsid w:val="71152000"/>
    <w:rsid w:val="71175551"/>
    <w:rsid w:val="711C66C3"/>
    <w:rsid w:val="71241A1C"/>
    <w:rsid w:val="71300E79"/>
    <w:rsid w:val="71325EE7"/>
    <w:rsid w:val="7137174F"/>
    <w:rsid w:val="71431EA2"/>
    <w:rsid w:val="71502811"/>
    <w:rsid w:val="715440AF"/>
    <w:rsid w:val="715C7408"/>
    <w:rsid w:val="71685DAD"/>
    <w:rsid w:val="716B6D5F"/>
    <w:rsid w:val="716B764B"/>
    <w:rsid w:val="717A67E4"/>
    <w:rsid w:val="717B5AE0"/>
    <w:rsid w:val="717C1858"/>
    <w:rsid w:val="717F5A26"/>
    <w:rsid w:val="71836742"/>
    <w:rsid w:val="7189187F"/>
    <w:rsid w:val="718B55F7"/>
    <w:rsid w:val="71900E5F"/>
    <w:rsid w:val="71964031"/>
    <w:rsid w:val="719C15B2"/>
    <w:rsid w:val="71A87F57"/>
    <w:rsid w:val="71B0505E"/>
    <w:rsid w:val="71B608C6"/>
    <w:rsid w:val="71C07997"/>
    <w:rsid w:val="71CF1988"/>
    <w:rsid w:val="71DB20DB"/>
    <w:rsid w:val="71E2790D"/>
    <w:rsid w:val="71E32E83"/>
    <w:rsid w:val="71FE226D"/>
    <w:rsid w:val="720C2BDC"/>
    <w:rsid w:val="72135D18"/>
    <w:rsid w:val="721750DD"/>
    <w:rsid w:val="721756F7"/>
    <w:rsid w:val="721D6B97"/>
    <w:rsid w:val="72233A82"/>
    <w:rsid w:val="722D66AE"/>
    <w:rsid w:val="7231619E"/>
    <w:rsid w:val="7231680E"/>
    <w:rsid w:val="72345C8F"/>
    <w:rsid w:val="724152C5"/>
    <w:rsid w:val="724759C2"/>
    <w:rsid w:val="72606A84"/>
    <w:rsid w:val="7265409A"/>
    <w:rsid w:val="72676064"/>
    <w:rsid w:val="727D3192"/>
    <w:rsid w:val="729130E1"/>
    <w:rsid w:val="72946B1E"/>
    <w:rsid w:val="72966949"/>
    <w:rsid w:val="729F135A"/>
    <w:rsid w:val="72A23850"/>
    <w:rsid w:val="72A46970"/>
    <w:rsid w:val="72AE77EF"/>
    <w:rsid w:val="72B8066E"/>
    <w:rsid w:val="72B868C0"/>
    <w:rsid w:val="72CB03A1"/>
    <w:rsid w:val="72CC4119"/>
    <w:rsid w:val="72CE60E3"/>
    <w:rsid w:val="72E43211"/>
    <w:rsid w:val="72E476B5"/>
    <w:rsid w:val="72E70F53"/>
    <w:rsid w:val="72F316A6"/>
    <w:rsid w:val="73045661"/>
    <w:rsid w:val="7306587D"/>
    <w:rsid w:val="73090EC9"/>
    <w:rsid w:val="73217FC1"/>
    <w:rsid w:val="73247AB1"/>
    <w:rsid w:val="73326672"/>
    <w:rsid w:val="73397A01"/>
    <w:rsid w:val="733C129F"/>
    <w:rsid w:val="73465C7A"/>
    <w:rsid w:val="734A3CC3"/>
    <w:rsid w:val="734B3290"/>
    <w:rsid w:val="734C0DB6"/>
    <w:rsid w:val="734C1852"/>
    <w:rsid w:val="73530396"/>
    <w:rsid w:val="73683E42"/>
    <w:rsid w:val="736B748E"/>
    <w:rsid w:val="736D3206"/>
    <w:rsid w:val="73832A2A"/>
    <w:rsid w:val="738467A2"/>
    <w:rsid w:val="7386076C"/>
    <w:rsid w:val="738D38A8"/>
    <w:rsid w:val="73917324"/>
    <w:rsid w:val="73A429A0"/>
    <w:rsid w:val="73B01345"/>
    <w:rsid w:val="73B07597"/>
    <w:rsid w:val="73C56AF0"/>
    <w:rsid w:val="73C82B32"/>
    <w:rsid w:val="73CC4A38"/>
    <w:rsid w:val="73DB2866"/>
    <w:rsid w:val="73F12089"/>
    <w:rsid w:val="73F30AFC"/>
    <w:rsid w:val="73F456D6"/>
    <w:rsid w:val="73FB2F08"/>
    <w:rsid w:val="740718AD"/>
    <w:rsid w:val="74082F2F"/>
    <w:rsid w:val="74092912"/>
    <w:rsid w:val="740B0213"/>
    <w:rsid w:val="74100024"/>
    <w:rsid w:val="74123DAE"/>
    <w:rsid w:val="741713C4"/>
    <w:rsid w:val="743E2DF5"/>
    <w:rsid w:val="743E4BA3"/>
    <w:rsid w:val="744F6DB0"/>
    <w:rsid w:val="745443C6"/>
    <w:rsid w:val="746565D3"/>
    <w:rsid w:val="746A3BEA"/>
    <w:rsid w:val="74716D26"/>
    <w:rsid w:val="74730CF0"/>
    <w:rsid w:val="7487654A"/>
    <w:rsid w:val="7491561A"/>
    <w:rsid w:val="74956EB9"/>
    <w:rsid w:val="7496678D"/>
    <w:rsid w:val="74A40EAA"/>
    <w:rsid w:val="74B60BDD"/>
    <w:rsid w:val="74B65081"/>
    <w:rsid w:val="74BD1F6B"/>
    <w:rsid w:val="74D472B5"/>
    <w:rsid w:val="74D774D1"/>
    <w:rsid w:val="74DB6895"/>
    <w:rsid w:val="74E219D2"/>
    <w:rsid w:val="74E27C24"/>
    <w:rsid w:val="74EB4D2A"/>
    <w:rsid w:val="74F040EF"/>
    <w:rsid w:val="74F11C15"/>
    <w:rsid w:val="74FF2584"/>
    <w:rsid w:val="75022074"/>
    <w:rsid w:val="75096F5F"/>
    <w:rsid w:val="75273889"/>
    <w:rsid w:val="752A4C51"/>
    <w:rsid w:val="7530273D"/>
    <w:rsid w:val="753528B6"/>
    <w:rsid w:val="753B6D32"/>
    <w:rsid w:val="753F5076"/>
    <w:rsid w:val="754D7793"/>
    <w:rsid w:val="7556B6C1"/>
    <w:rsid w:val="755A3C5E"/>
    <w:rsid w:val="756D1BE3"/>
    <w:rsid w:val="75743AE4"/>
    <w:rsid w:val="758B02BC"/>
    <w:rsid w:val="75956A44"/>
    <w:rsid w:val="759C6025"/>
    <w:rsid w:val="75A31161"/>
    <w:rsid w:val="75A90742"/>
    <w:rsid w:val="75DC28C5"/>
    <w:rsid w:val="75DC4673"/>
    <w:rsid w:val="75E63744"/>
    <w:rsid w:val="75ED4AD2"/>
    <w:rsid w:val="75FC4D15"/>
    <w:rsid w:val="76067942"/>
    <w:rsid w:val="76143E0D"/>
    <w:rsid w:val="761B33ED"/>
    <w:rsid w:val="76285B0A"/>
    <w:rsid w:val="762A1882"/>
    <w:rsid w:val="762A53DF"/>
    <w:rsid w:val="76366479"/>
    <w:rsid w:val="764010A6"/>
    <w:rsid w:val="76402E54"/>
    <w:rsid w:val="76432944"/>
    <w:rsid w:val="76544B51"/>
    <w:rsid w:val="765468FF"/>
    <w:rsid w:val="7656661E"/>
    <w:rsid w:val="766052A4"/>
    <w:rsid w:val="7662726E"/>
    <w:rsid w:val="766C3C49"/>
    <w:rsid w:val="767B0330"/>
    <w:rsid w:val="767D7C04"/>
    <w:rsid w:val="769E5DCD"/>
    <w:rsid w:val="76AE24B4"/>
    <w:rsid w:val="76B23320"/>
    <w:rsid w:val="76B52A9A"/>
    <w:rsid w:val="76BD6253"/>
    <w:rsid w:val="76C515AB"/>
    <w:rsid w:val="76DD68F5"/>
    <w:rsid w:val="76E063E5"/>
    <w:rsid w:val="76E68039"/>
    <w:rsid w:val="76ED37EF"/>
    <w:rsid w:val="76F93003"/>
    <w:rsid w:val="76FA74A7"/>
    <w:rsid w:val="77071BC4"/>
    <w:rsid w:val="770F21D1"/>
    <w:rsid w:val="771F2A69"/>
    <w:rsid w:val="77204A34"/>
    <w:rsid w:val="7735228D"/>
    <w:rsid w:val="773D7394"/>
    <w:rsid w:val="774B1AB0"/>
    <w:rsid w:val="774B7D02"/>
    <w:rsid w:val="7758241F"/>
    <w:rsid w:val="775C3CBE"/>
    <w:rsid w:val="776808B4"/>
    <w:rsid w:val="77756B2D"/>
    <w:rsid w:val="777A2396"/>
    <w:rsid w:val="778B45A3"/>
    <w:rsid w:val="778C3E77"/>
    <w:rsid w:val="779276DF"/>
    <w:rsid w:val="77931FA1"/>
    <w:rsid w:val="779F004E"/>
    <w:rsid w:val="77AD7E13"/>
    <w:rsid w:val="77BB2417"/>
    <w:rsid w:val="77CC23A1"/>
    <w:rsid w:val="77CF85C6"/>
    <w:rsid w:val="77E837A3"/>
    <w:rsid w:val="77ED98B5"/>
    <w:rsid w:val="77F57C6E"/>
    <w:rsid w:val="780305DD"/>
    <w:rsid w:val="780B56E4"/>
    <w:rsid w:val="78153E6C"/>
    <w:rsid w:val="78232A2D"/>
    <w:rsid w:val="782347DB"/>
    <w:rsid w:val="783A38D3"/>
    <w:rsid w:val="783F0EE9"/>
    <w:rsid w:val="785B5D23"/>
    <w:rsid w:val="78610198"/>
    <w:rsid w:val="7863107C"/>
    <w:rsid w:val="78746DE5"/>
    <w:rsid w:val="788A6DAF"/>
    <w:rsid w:val="788B412F"/>
    <w:rsid w:val="789254BD"/>
    <w:rsid w:val="78994A9D"/>
    <w:rsid w:val="789E20B4"/>
    <w:rsid w:val="78A21BA4"/>
    <w:rsid w:val="78A376CA"/>
    <w:rsid w:val="78A7019A"/>
    <w:rsid w:val="78AF42C1"/>
    <w:rsid w:val="78BB0EB8"/>
    <w:rsid w:val="78C06712"/>
    <w:rsid w:val="78CF04BF"/>
    <w:rsid w:val="78D51252"/>
    <w:rsid w:val="78D67AA0"/>
    <w:rsid w:val="78DE6954"/>
    <w:rsid w:val="78F16688"/>
    <w:rsid w:val="78F9553C"/>
    <w:rsid w:val="79052133"/>
    <w:rsid w:val="79144124"/>
    <w:rsid w:val="791A1F1F"/>
    <w:rsid w:val="792702FB"/>
    <w:rsid w:val="79404F19"/>
    <w:rsid w:val="79426EE3"/>
    <w:rsid w:val="795804B5"/>
    <w:rsid w:val="795F1843"/>
    <w:rsid w:val="79607369"/>
    <w:rsid w:val="796C3F60"/>
    <w:rsid w:val="797C0647"/>
    <w:rsid w:val="7984574E"/>
    <w:rsid w:val="799A0ACD"/>
    <w:rsid w:val="799A6D1F"/>
    <w:rsid w:val="79A90D10"/>
    <w:rsid w:val="79BA3B0E"/>
    <w:rsid w:val="79C43D9C"/>
    <w:rsid w:val="79CC49FF"/>
    <w:rsid w:val="79D0629D"/>
    <w:rsid w:val="79DA14EC"/>
    <w:rsid w:val="79DD6C0C"/>
    <w:rsid w:val="79DE4E5E"/>
    <w:rsid w:val="79F956AA"/>
    <w:rsid w:val="7A287E87"/>
    <w:rsid w:val="7A456C8B"/>
    <w:rsid w:val="7A4E2702"/>
    <w:rsid w:val="7A5A025C"/>
    <w:rsid w:val="7A5C5D83"/>
    <w:rsid w:val="7A6115EB"/>
    <w:rsid w:val="7A6D4434"/>
    <w:rsid w:val="7A6F1F5A"/>
    <w:rsid w:val="7A707A80"/>
    <w:rsid w:val="7A7237F8"/>
    <w:rsid w:val="7A7255A6"/>
    <w:rsid w:val="7A747570"/>
    <w:rsid w:val="7A7B26AD"/>
    <w:rsid w:val="7A7C6425"/>
    <w:rsid w:val="7A811C8D"/>
    <w:rsid w:val="7A88301C"/>
    <w:rsid w:val="7A923E9A"/>
    <w:rsid w:val="7AAD2A82"/>
    <w:rsid w:val="7AAF2356"/>
    <w:rsid w:val="7AB23BF5"/>
    <w:rsid w:val="7AB43E11"/>
    <w:rsid w:val="7ABB6962"/>
    <w:rsid w:val="7ABC4A73"/>
    <w:rsid w:val="7ABD0F17"/>
    <w:rsid w:val="7ACA76F7"/>
    <w:rsid w:val="7AD24297"/>
    <w:rsid w:val="7AD26045"/>
    <w:rsid w:val="7AF4539C"/>
    <w:rsid w:val="7AF92E7C"/>
    <w:rsid w:val="7B0703E4"/>
    <w:rsid w:val="7B0C59FB"/>
    <w:rsid w:val="7B1012E4"/>
    <w:rsid w:val="7B1B5C3E"/>
    <w:rsid w:val="7B32650D"/>
    <w:rsid w:val="7B332F87"/>
    <w:rsid w:val="7B42141C"/>
    <w:rsid w:val="7B6A2721"/>
    <w:rsid w:val="7B71305D"/>
    <w:rsid w:val="7B713AB0"/>
    <w:rsid w:val="7B8C08E9"/>
    <w:rsid w:val="7B9854E0"/>
    <w:rsid w:val="7BA14395"/>
    <w:rsid w:val="7BA6539F"/>
    <w:rsid w:val="7BA75723"/>
    <w:rsid w:val="7BB35E76"/>
    <w:rsid w:val="7BB75966"/>
    <w:rsid w:val="7BD04F09"/>
    <w:rsid w:val="7BDA3403"/>
    <w:rsid w:val="7BDD1145"/>
    <w:rsid w:val="7BE13C56"/>
    <w:rsid w:val="7BE20509"/>
    <w:rsid w:val="7BE61DA8"/>
    <w:rsid w:val="7BED92A8"/>
    <w:rsid w:val="7BF73FB5"/>
    <w:rsid w:val="7BF81ADB"/>
    <w:rsid w:val="7BFC781D"/>
    <w:rsid w:val="7C013D85"/>
    <w:rsid w:val="7C016BE2"/>
    <w:rsid w:val="7C030BAC"/>
    <w:rsid w:val="7C0655E3"/>
    <w:rsid w:val="7C0D37D8"/>
    <w:rsid w:val="7C181F3F"/>
    <w:rsid w:val="7C1A601F"/>
    <w:rsid w:val="7C246D74"/>
    <w:rsid w:val="7C296138"/>
    <w:rsid w:val="7C321491"/>
    <w:rsid w:val="7C372603"/>
    <w:rsid w:val="7C4411C4"/>
    <w:rsid w:val="7C556F2D"/>
    <w:rsid w:val="7C662C4B"/>
    <w:rsid w:val="7C6F4493"/>
    <w:rsid w:val="7C7575D0"/>
    <w:rsid w:val="7C8F0691"/>
    <w:rsid w:val="7C9C690A"/>
    <w:rsid w:val="7CA103C5"/>
    <w:rsid w:val="7CA81753"/>
    <w:rsid w:val="7CB43C54"/>
    <w:rsid w:val="7CC145C3"/>
    <w:rsid w:val="7CC80396"/>
    <w:rsid w:val="7CD24A22"/>
    <w:rsid w:val="7CD51E1C"/>
    <w:rsid w:val="7CEC7892"/>
    <w:rsid w:val="7CED53B8"/>
    <w:rsid w:val="7CFB5D27"/>
    <w:rsid w:val="7D0C1CE2"/>
    <w:rsid w:val="7D140B97"/>
    <w:rsid w:val="7D1D5C9D"/>
    <w:rsid w:val="7D2012E9"/>
    <w:rsid w:val="7D24527D"/>
    <w:rsid w:val="7D2A2168"/>
    <w:rsid w:val="7D2D1C58"/>
    <w:rsid w:val="7D3B6123"/>
    <w:rsid w:val="7D3D1E9B"/>
    <w:rsid w:val="7D3E79C1"/>
    <w:rsid w:val="7D425704"/>
    <w:rsid w:val="7D472D1A"/>
    <w:rsid w:val="7D5176F5"/>
    <w:rsid w:val="7D5B4A17"/>
    <w:rsid w:val="7D621F8D"/>
    <w:rsid w:val="7D7D673C"/>
    <w:rsid w:val="7D7F24B4"/>
    <w:rsid w:val="7D847ACA"/>
    <w:rsid w:val="7D957F29"/>
    <w:rsid w:val="7DA95783"/>
    <w:rsid w:val="7DAE0FEB"/>
    <w:rsid w:val="7DB303AF"/>
    <w:rsid w:val="7DB40A20"/>
    <w:rsid w:val="7DBA34EC"/>
    <w:rsid w:val="7DCF4ABD"/>
    <w:rsid w:val="7DFD162B"/>
    <w:rsid w:val="7E002EC9"/>
    <w:rsid w:val="7E01111B"/>
    <w:rsid w:val="7E026C41"/>
    <w:rsid w:val="7E05340D"/>
    <w:rsid w:val="7E062BD5"/>
    <w:rsid w:val="7E12157A"/>
    <w:rsid w:val="7E136A50"/>
    <w:rsid w:val="7E1A3F8B"/>
    <w:rsid w:val="7E266DD3"/>
    <w:rsid w:val="7E2B43EA"/>
    <w:rsid w:val="7E49765A"/>
    <w:rsid w:val="7E4C0FEB"/>
    <w:rsid w:val="7E4E04C2"/>
    <w:rsid w:val="7E5A6A7D"/>
    <w:rsid w:val="7E5E656D"/>
    <w:rsid w:val="7E6671D0"/>
    <w:rsid w:val="7E704E13"/>
    <w:rsid w:val="7E775881"/>
    <w:rsid w:val="7E7933A7"/>
    <w:rsid w:val="7E7E09BD"/>
    <w:rsid w:val="7E7F64E4"/>
    <w:rsid w:val="7E827B25"/>
    <w:rsid w:val="7E851D4C"/>
    <w:rsid w:val="7E865AC4"/>
    <w:rsid w:val="7E8B4E88"/>
    <w:rsid w:val="7E971A7F"/>
    <w:rsid w:val="7EBA751C"/>
    <w:rsid w:val="7EBE0C5A"/>
    <w:rsid w:val="7EC02D84"/>
    <w:rsid w:val="7EC16AFC"/>
    <w:rsid w:val="7ED26C70"/>
    <w:rsid w:val="7EDC687C"/>
    <w:rsid w:val="7EDE26DA"/>
    <w:rsid w:val="7EEF5417"/>
    <w:rsid w:val="7EFB3C47"/>
    <w:rsid w:val="7F1A6794"/>
    <w:rsid w:val="7F207CC7"/>
    <w:rsid w:val="7F21759B"/>
    <w:rsid w:val="7F2A46A1"/>
    <w:rsid w:val="7F2F3A66"/>
    <w:rsid w:val="7F572FBC"/>
    <w:rsid w:val="7F5D6825"/>
    <w:rsid w:val="7F850ECB"/>
    <w:rsid w:val="7F8A3392"/>
    <w:rsid w:val="7F8A5140"/>
    <w:rsid w:val="7F8F875D"/>
    <w:rsid w:val="7F9F1736"/>
    <w:rsid w:val="7F9F508F"/>
    <w:rsid w:val="7FAF4BA7"/>
    <w:rsid w:val="7FB573AC"/>
    <w:rsid w:val="7FB64187"/>
    <w:rsid w:val="7FC22B2C"/>
    <w:rsid w:val="7FD32E51"/>
    <w:rsid w:val="7FD34D39"/>
    <w:rsid w:val="7FDEA73E"/>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keepNext/>
      <w:outlineLvl w:val="0"/>
    </w:pPr>
    <w:rPr>
      <w:sz w:val="28"/>
      <w:szCs w:val="24"/>
    </w:rPr>
  </w:style>
  <w:style w:type="paragraph" w:styleId="3">
    <w:name w:val="heading 2"/>
    <w:basedOn w:val="1"/>
    <w:next w:val="1"/>
    <w:link w:val="114"/>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4"/>
    <w:autoRedefine/>
    <w:qFormat/>
    <w:uiPriority w:val="0"/>
    <w:pPr>
      <w:shd w:val="clear" w:color="auto" w:fill="000080"/>
    </w:pPr>
  </w:style>
  <w:style w:type="paragraph" w:styleId="8">
    <w:name w:val="annotation text"/>
    <w:basedOn w:val="1"/>
    <w:link w:val="78"/>
    <w:autoRedefine/>
    <w:semiHidden/>
    <w:qFormat/>
    <w:uiPriority w:val="99"/>
    <w:pPr>
      <w:jc w:val="left"/>
    </w:pPr>
  </w:style>
  <w:style w:type="paragraph" w:styleId="9">
    <w:name w:val="Body Text 3"/>
    <w:basedOn w:val="1"/>
    <w:link w:val="99"/>
    <w:autoRedefine/>
    <w:unhideWhenUsed/>
    <w:qFormat/>
    <w:uiPriority w:val="99"/>
    <w:pPr>
      <w:spacing w:after="120"/>
    </w:pPr>
    <w:rPr>
      <w:rFonts w:ascii="Calibri" w:hAnsi="Calibri"/>
      <w:sz w:val="16"/>
      <w:szCs w:val="16"/>
      <w:lang w:val="zh-CN"/>
    </w:rPr>
  </w:style>
  <w:style w:type="paragraph" w:styleId="10">
    <w:name w:val="Body Text"/>
    <w:basedOn w:val="1"/>
    <w:next w:val="11"/>
    <w:link w:val="73"/>
    <w:autoRedefine/>
    <w:qFormat/>
    <w:uiPriority w:val="0"/>
    <w:pPr>
      <w:spacing w:after="120"/>
    </w:pPr>
    <w:rPr>
      <w:szCs w:val="24"/>
    </w:rPr>
  </w:style>
  <w:style w:type="paragraph" w:customStyle="1" w:styleId="11">
    <w:name w:val="style4"/>
    <w:basedOn w:val="1"/>
    <w:next w:val="12"/>
    <w:qFormat/>
    <w:uiPriority w:val="0"/>
    <w:pPr>
      <w:widowControl/>
      <w:spacing w:before="280" w:after="280"/>
    </w:pPr>
    <w:rPr>
      <w:rFonts w:ascii="宋体" w:hAnsi="Times New Roman" w:eastAsia="宋体" w:cs="Times New Roman"/>
      <w:sz w:val="18"/>
    </w:rPr>
  </w:style>
  <w:style w:type="paragraph" w:customStyle="1" w:styleId="12">
    <w:name w:val="2"/>
    <w:next w:val="1"/>
    <w:qFormat/>
    <w:uiPriority w:val="0"/>
    <w:pPr>
      <w:widowControl w:val="0"/>
      <w:jc w:val="both"/>
    </w:pPr>
    <w:rPr>
      <w:rFonts w:ascii="Calibri" w:hAnsi="Calibri" w:eastAsia="宋体" w:cs="Times New Roman"/>
      <w:sz w:val="21"/>
      <w:szCs w:val="22"/>
      <w:lang w:val="en-US" w:eastAsia="zh-CN" w:bidi="ar-SA"/>
    </w:rPr>
  </w:style>
  <w:style w:type="paragraph" w:styleId="13">
    <w:name w:val="Body Text Indent"/>
    <w:basedOn w:val="1"/>
    <w:link w:val="62"/>
    <w:autoRedefine/>
    <w:qFormat/>
    <w:uiPriority w:val="0"/>
    <w:pPr>
      <w:ind w:firstLine="540"/>
    </w:pPr>
    <w:rPr>
      <w:rFonts w:eastAsia="仿宋_GB2312"/>
      <w:sz w:val="28"/>
    </w:rPr>
  </w:style>
  <w:style w:type="paragraph" w:styleId="14">
    <w:name w:val="toc 5"/>
    <w:basedOn w:val="1"/>
    <w:next w:val="1"/>
    <w:autoRedefine/>
    <w:qFormat/>
    <w:uiPriority w:val="0"/>
    <w:pPr>
      <w:ind w:left="1680" w:leftChars="800"/>
    </w:pPr>
  </w:style>
  <w:style w:type="paragraph" w:styleId="15">
    <w:name w:val="toc 3"/>
    <w:basedOn w:val="1"/>
    <w:next w:val="1"/>
    <w:autoRedefine/>
    <w:qFormat/>
    <w:uiPriority w:val="39"/>
    <w:pPr>
      <w:ind w:left="840" w:leftChars="400"/>
    </w:pPr>
  </w:style>
  <w:style w:type="paragraph" w:styleId="16">
    <w:name w:val="Plain Text"/>
    <w:basedOn w:val="1"/>
    <w:link w:val="81"/>
    <w:autoRedefine/>
    <w:qFormat/>
    <w:uiPriority w:val="0"/>
    <w:rPr>
      <w:rFonts w:ascii="宋体" w:hAnsi="Courier New" w:cstheme="minorBidi"/>
      <w:szCs w:val="22"/>
    </w:rPr>
  </w:style>
  <w:style w:type="paragraph" w:styleId="17">
    <w:name w:val="toc 8"/>
    <w:basedOn w:val="1"/>
    <w:next w:val="1"/>
    <w:autoRedefine/>
    <w:qFormat/>
    <w:uiPriority w:val="0"/>
    <w:pPr>
      <w:ind w:left="2940" w:leftChars="1400"/>
    </w:pPr>
  </w:style>
  <w:style w:type="paragraph" w:styleId="18">
    <w:name w:val="Date"/>
    <w:basedOn w:val="1"/>
    <w:next w:val="1"/>
    <w:link w:val="61"/>
    <w:autoRedefine/>
    <w:qFormat/>
    <w:uiPriority w:val="0"/>
    <w:rPr>
      <w:rFonts w:ascii="Arial" w:hAnsi="Arial" w:eastAsia="楷体_GB2312"/>
      <w:sz w:val="28"/>
    </w:rPr>
  </w:style>
  <w:style w:type="paragraph" w:styleId="19">
    <w:name w:val="Body Text Indent 2"/>
    <w:basedOn w:val="1"/>
    <w:link w:val="64"/>
    <w:autoRedefine/>
    <w:qFormat/>
    <w:uiPriority w:val="0"/>
    <w:pPr>
      <w:tabs>
        <w:tab w:val="left" w:pos="720"/>
      </w:tabs>
      <w:ind w:right="-506" w:rightChars="-241" w:firstLine="538" w:firstLineChars="192"/>
    </w:pPr>
    <w:rPr>
      <w:rFonts w:eastAsia="仿宋_GB2312"/>
      <w:sz w:val="28"/>
    </w:rPr>
  </w:style>
  <w:style w:type="paragraph" w:styleId="20">
    <w:name w:val="Balloon Text"/>
    <w:basedOn w:val="1"/>
    <w:link w:val="75"/>
    <w:autoRedefine/>
    <w:qFormat/>
    <w:uiPriority w:val="0"/>
    <w:rPr>
      <w:sz w:val="18"/>
      <w:szCs w:val="18"/>
    </w:rPr>
  </w:style>
  <w:style w:type="paragraph" w:styleId="21">
    <w:name w:val="footer"/>
    <w:basedOn w:val="1"/>
    <w:link w:val="56"/>
    <w:autoRedefine/>
    <w:unhideWhenUsed/>
    <w:qFormat/>
    <w:uiPriority w:val="99"/>
    <w:pPr>
      <w:tabs>
        <w:tab w:val="center" w:pos="4153"/>
        <w:tab w:val="right" w:pos="8306"/>
      </w:tabs>
      <w:snapToGrid w:val="0"/>
      <w:jc w:val="left"/>
    </w:pPr>
    <w:rPr>
      <w:sz w:val="18"/>
      <w:szCs w:val="18"/>
    </w:rPr>
  </w:style>
  <w:style w:type="paragraph" w:styleId="22">
    <w:name w:val="header"/>
    <w:basedOn w:val="1"/>
    <w:link w:val="5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toc 4"/>
    <w:basedOn w:val="1"/>
    <w:next w:val="1"/>
    <w:autoRedefine/>
    <w:qFormat/>
    <w:uiPriority w:val="0"/>
    <w:pPr>
      <w:ind w:left="1260" w:leftChars="600"/>
    </w:pPr>
  </w:style>
  <w:style w:type="paragraph" w:styleId="25">
    <w:name w:val="toc 6"/>
    <w:basedOn w:val="1"/>
    <w:next w:val="1"/>
    <w:autoRedefine/>
    <w:qFormat/>
    <w:uiPriority w:val="0"/>
    <w:pPr>
      <w:ind w:left="2100" w:leftChars="1000"/>
    </w:pPr>
  </w:style>
  <w:style w:type="paragraph" w:styleId="26">
    <w:name w:val="Body Text Indent 3"/>
    <w:basedOn w:val="1"/>
    <w:link w:val="70"/>
    <w:autoRedefine/>
    <w:qFormat/>
    <w:uiPriority w:val="0"/>
    <w:pPr>
      <w:ind w:left="178" w:leftChars="85" w:firstLine="560" w:firstLineChars="200"/>
    </w:pPr>
    <w:rPr>
      <w:rFonts w:ascii="仿宋_GB2312" w:hAnsi="Arial" w:eastAsia="仿宋_GB2312"/>
      <w:sz w:val="28"/>
      <w:szCs w:val="24"/>
    </w:rPr>
  </w:style>
  <w:style w:type="paragraph" w:styleId="27">
    <w:name w:val="toc 2"/>
    <w:basedOn w:val="1"/>
    <w:next w:val="1"/>
    <w:autoRedefine/>
    <w:qFormat/>
    <w:uiPriority w:val="39"/>
    <w:pPr>
      <w:ind w:left="420" w:leftChars="200"/>
    </w:pPr>
  </w:style>
  <w:style w:type="paragraph" w:styleId="28">
    <w:name w:val="toc 9"/>
    <w:basedOn w:val="1"/>
    <w:next w:val="1"/>
    <w:autoRedefine/>
    <w:qFormat/>
    <w:uiPriority w:val="0"/>
    <w:pPr>
      <w:ind w:left="3360" w:leftChars="1600"/>
    </w:pPr>
  </w:style>
  <w:style w:type="paragraph" w:styleId="29">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autoRedefine/>
    <w:unhideWhenUsed/>
    <w:qFormat/>
    <w:uiPriority w:val="99"/>
    <w:pPr>
      <w:jc w:val="left"/>
    </w:pPr>
    <w:rPr>
      <w:kern w:val="0"/>
      <w:sz w:val="24"/>
    </w:rPr>
  </w:style>
  <w:style w:type="paragraph" w:styleId="31">
    <w:name w:val="index 1"/>
    <w:basedOn w:val="1"/>
    <w:next w:val="1"/>
    <w:autoRedefine/>
    <w:semiHidden/>
    <w:qFormat/>
    <w:uiPriority w:val="0"/>
    <w:pPr>
      <w:jc w:val="center"/>
    </w:pPr>
    <w:rPr>
      <w:rFonts w:ascii="仿宋_GB2312" w:eastAsia="仿宋_GB2312"/>
      <w:b/>
      <w:bCs/>
      <w:sz w:val="28"/>
    </w:rPr>
  </w:style>
  <w:style w:type="paragraph" w:styleId="32">
    <w:name w:val="annotation subject"/>
    <w:basedOn w:val="8"/>
    <w:next w:val="8"/>
    <w:link w:val="79"/>
    <w:autoRedefine/>
    <w:semiHidden/>
    <w:qFormat/>
    <w:uiPriority w:val="99"/>
    <w:rPr>
      <w:b/>
      <w:bCs/>
    </w:rPr>
  </w:style>
  <w:style w:type="paragraph" w:styleId="33">
    <w:name w:val="Body Text First Indent"/>
    <w:basedOn w:val="10"/>
    <w:autoRedefine/>
    <w:unhideWhenUsed/>
    <w:qFormat/>
    <w:uiPriority w:val="99"/>
    <w:pPr>
      <w:spacing w:line="400" w:lineRule="atLeast"/>
      <w:ind w:firstLine="426"/>
    </w:pPr>
    <w:rPr>
      <w:sz w:val="24"/>
      <w:szCs w:val="20"/>
    </w:rPr>
  </w:style>
  <w:style w:type="paragraph" w:styleId="34">
    <w:name w:val="Body Text First Indent 2"/>
    <w:basedOn w:val="13"/>
    <w:qFormat/>
    <w:uiPriority w:val="0"/>
    <w:pPr>
      <w:ind w:firstLine="420" w:firstLineChars="200"/>
    </w:pPr>
  </w:style>
  <w:style w:type="table" w:styleId="36">
    <w:name w:val="Table Grid"/>
    <w:basedOn w:val="3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basedOn w:val="37"/>
    <w:autoRedefine/>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autoRedefine/>
    <w:qFormat/>
    <w:uiPriority w:val="99"/>
    <w:rPr>
      <w:color w:val="333333"/>
      <w:u w:val="none"/>
    </w:rPr>
  </w:style>
  <w:style w:type="character" w:styleId="46">
    <w:name w:val="HTML Code"/>
    <w:basedOn w:val="37"/>
    <w:semiHidden/>
    <w:unhideWhenUsed/>
    <w:qFormat/>
    <w:uiPriority w:val="99"/>
    <w:rPr>
      <w:rFonts w:hint="default" w:ascii="monospace" w:hAnsi="monospace" w:eastAsia="monospace" w:cs="monospace"/>
      <w:sz w:val="20"/>
    </w:rPr>
  </w:style>
  <w:style w:type="character" w:styleId="47">
    <w:name w:val="annotation reference"/>
    <w:autoRedefin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BodyText1I2"/>
    <w:basedOn w:val="52"/>
    <w:qFormat/>
    <w:uiPriority w:val="0"/>
    <w:pPr>
      <w:spacing w:line="360" w:lineRule="auto"/>
      <w:ind w:firstLine="420" w:firstLineChars="200"/>
    </w:pPr>
    <w:rPr>
      <w:rFonts w:ascii="楷体_GB2312" w:hAnsi="楷体_GB2312"/>
      <w:kern w:val="0"/>
      <w:szCs w:val="28"/>
    </w:rPr>
  </w:style>
  <w:style w:type="paragraph" w:customStyle="1" w:styleId="52">
    <w:name w:val="BodyTextIndent"/>
    <w:basedOn w:val="1"/>
    <w:qFormat/>
    <w:uiPriority w:val="0"/>
    <w:pPr>
      <w:spacing w:after="120" w:line="300" w:lineRule="auto"/>
      <w:ind w:left="420" w:leftChars="200"/>
      <w:textAlignment w:val="baseline"/>
    </w:pPr>
  </w:style>
  <w:style w:type="paragraph" w:customStyle="1" w:styleId="53">
    <w:name w:val="目录 71"/>
    <w:basedOn w:val="1"/>
    <w:next w:val="1"/>
    <w:autoRedefine/>
    <w:qFormat/>
    <w:uiPriority w:val="0"/>
    <w:pPr>
      <w:ind w:left="2520"/>
    </w:pPr>
    <w:rPr>
      <w:rFonts w:ascii="Calibri"/>
    </w:rPr>
  </w:style>
  <w:style w:type="paragraph" w:customStyle="1" w:styleId="54">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5">
    <w:name w:val="页眉 Char"/>
    <w:basedOn w:val="37"/>
    <w:link w:val="22"/>
    <w:autoRedefine/>
    <w:qFormat/>
    <w:uiPriority w:val="0"/>
    <w:rPr>
      <w:sz w:val="18"/>
      <w:szCs w:val="18"/>
    </w:rPr>
  </w:style>
  <w:style w:type="character" w:customStyle="1" w:styleId="56">
    <w:name w:val="页脚 Char"/>
    <w:basedOn w:val="37"/>
    <w:link w:val="21"/>
    <w:autoRedefine/>
    <w:qFormat/>
    <w:uiPriority w:val="99"/>
    <w:rPr>
      <w:sz w:val="18"/>
      <w:szCs w:val="18"/>
    </w:rPr>
  </w:style>
  <w:style w:type="character" w:customStyle="1" w:styleId="57">
    <w:name w:val="标题 1 Char"/>
    <w:basedOn w:val="37"/>
    <w:link w:val="2"/>
    <w:autoRedefine/>
    <w:qFormat/>
    <w:uiPriority w:val="0"/>
    <w:rPr>
      <w:rFonts w:ascii="Times New Roman" w:hAnsi="Times New Roman" w:eastAsia="宋体" w:cs="Times New Roman"/>
      <w:sz w:val="28"/>
      <w:szCs w:val="24"/>
    </w:rPr>
  </w:style>
  <w:style w:type="character" w:customStyle="1" w:styleId="58">
    <w:name w:val="标题 2 Char"/>
    <w:basedOn w:val="37"/>
    <w:link w:val="3"/>
    <w:autoRedefine/>
    <w:qFormat/>
    <w:uiPriority w:val="0"/>
    <w:rPr>
      <w:rFonts w:ascii="Arial" w:hAnsi="Arial" w:eastAsia="黑体" w:cs="Times New Roman"/>
      <w:b/>
      <w:kern w:val="0"/>
      <w:sz w:val="32"/>
      <w:szCs w:val="20"/>
    </w:rPr>
  </w:style>
  <w:style w:type="character" w:customStyle="1" w:styleId="59">
    <w:name w:val="标题 3 Char"/>
    <w:basedOn w:val="37"/>
    <w:link w:val="4"/>
    <w:autoRedefine/>
    <w:qFormat/>
    <w:uiPriority w:val="0"/>
    <w:rPr>
      <w:rFonts w:ascii="Times New Roman" w:hAnsi="Times New Roman" w:eastAsia="宋体" w:cs="Times New Roman"/>
      <w:b/>
      <w:bCs/>
      <w:sz w:val="32"/>
      <w:szCs w:val="32"/>
      <w:lang w:val="zh-CN" w:eastAsia="zh-CN"/>
    </w:rPr>
  </w:style>
  <w:style w:type="character" w:customStyle="1" w:styleId="60">
    <w:name w:val="标题 4 Char"/>
    <w:basedOn w:val="37"/>
    <w:link w:val="5"/>
    <w:autoRedefine/>
    <w:qFormat/>
    <w:uiPriority w:val="0"/>
    <w:rPr>
      <w:rFonts w:ascii="Arial" w:hAnsi="Arial" w:eastAsia="黑体" w:cs="Times New Roman"/>
      <w:b/>
      <w:kern w:val="0"/>
      <w:sz w:val="28"/>
      <w:szCs w:val="20"/>
    </w:rPr>
  </w:style>
  <w:style w:type="character" w:customStyle="1" w:styleId="61">
    <w:name w:val="日期 Char"/>
    <w:basedOn w:val="37"/>
    <w:link w:val="18"/>
    <w:autoRedefine/>
    <w:qFormat/>
    <w:uiPriority w:val="0"/>
    <w:rPr>
      <w:rFonts w:ascii="Arial" w:hAnsi="Arial" w:eastAsia="楷体_GB2312" w:cs="Times New Roman"/>
      <w:sz w:val="28"/>
      <w:szCs w:val="20"/>
    </w:rPr>
  </w:style>
  <w:style w:type="character" w:customStyle="1" w:styleId="62">
    <w:name w:val="正文文本缩进 Char"/>
    <w:basedOn w:val="37"/>
    <w:link w:val="13"/>
    <w:autoRedefine/>
    <w:qFormat/>
    <w:uiPriority w:val="0"/>
    <w:rPr>
      <w:rFonts w:ascii="Times New Roman" w:hAnsi="Times New Roman" w:eastAsia="仿宋_GB2312" w:cs="Times New Roman"/>
      <w:sz w:val="28"/>
      <w:szCs w:val="20"/>
    </w:rPr>
  </w:style>
  <w:style w:type="paragraph" w:customStyle="1" w:styleId="6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7"/>
    <w:link w:val="19"/>
    <w:autoRedefine/>
    <w:qFormat/>
    <w:uiPriority w:val="0"/>
    <w:rPr>
      <w:rFonts w:ascii="Times New Roman" w:hAnsi="Times New Roman" w:eastAsia="仿宋_GB2312" w:cs="Times New Roman"/>
      <w:sz w:val="28"/>
      <w:szCs w:val="20"/>
    </w:rPr>
  </w:style>
  <w:style w:type="paragraph" w:customStyle="1" w:styleId="6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8">
    <w:name w:val="Char Char Char Char Char"/>
    <w:basedOn w:val="1"/>
    <w:autoRedefine/>
    <w:qFormat/>
    <w:uiPriority w:val="0"/>
    <w:rPr>
      <w:rFonts w:ascii="Tahoma" w:hAnsi="Tahoma"/>
      <w:sz w:val="24"/>
    </w:rPr>
  </w:style>
  <w:style w:type="paragraph" w:customStyle="1" w:styleId="69">
    <w:name w:val="Char"/>
    <w:basedOn w:val="1"/>
    <w:autoRedefine/>
    <w:qFormat/>
    <w:uiPriority w:val="0"/>
    <w:rPr>
      <w:rFonts w:ascii="Tahoma" w:hAnsi="Tahoma"/>
      <w:sz w:val="24"/>
    </w:rPr>
  </w:style>
  <w:style w:type="character" w:customStyle="1" w:styleId="70">
    <w:name w:val="正文文本缩进 3 Char"/>
    <w:basedOn w:val="37"/>
    <w:link w:val="26"/>
    <w:autoRedefine/>
    <w:qFormat/>
    <w:uiPriority w:val="0"/>
    <w:rPr>
      <w:rFonts w:ascii="仿宋_GB2312" w:hAnsi="Arial" w:eastAsia="仿宋_GB2312" w:cs="Times New Roman"/>
      <w:sz w:val="28"/>
      <w:szCs w:val="24"/>
    </w:rPr>
  </w:style>
  <w:style w:type="paragraph" w:customStyle="1" w:styleId="71">
    <w:name w:val="Char1"/>
    <w:basedOn w:val="1"/>
    <w:autoRedefine/>
    <w:qFormat/>
    <w:uiPriority w:val="0"/>
    <w:rPr>
      <w:rFonts w:ascii="Tahoma" w:hAnsi="Tahoma" w:eastAsia="仿宋_GB2312"/>
      <w:sz w:val="24"/>
    </w:rPr>
  </w:style>
  <w:style w:type="paragraph" w:customStyle="1" w:styleId="72">
    <w:name w:val="Char Char Char Char Char Char Char1 Char"/>
    <w:basedOn w:val="1"/>
    <w:autoRedefine/>
    <w:qFormat/>
    <w:uiPriority w:val="0"/>
    <w:rPr>
      <w:rFonts w:ascii="Tahoma" w:hAnsi="Tahoma"/>
      <w:sz w:val="24"/>
    </w:rPr>
  </w:style>
  <w:style w:type="character" w:customStyle="1" w:styleId="73">
    <w:name w:val="正文文本 Char"/>
    <w:basedOn w:val="37"/>
    <w:link w:val="10"/>
    <w:autoRedefine/>
    <w:qFormat/>
    <w:uiPriority w:val="0"/>
    <w:rPr>
      <w:rFonts w:ascii="Times New Roman" w:hAnsi="Times New Roman" w:eastAsia="宋体" w:cs="Times New Roman"/>
      <w:szCs w:val="24"/>
    </w:rPr>
  </w:style>
  <w:style w:type="paragraph" w:customStyle="1" w:styleId="74">
    <w:name w:val="Char Char Char Char"/>
    <w:basedOn w:val="1"/>
    <w:next w:val="1"/>
    <w:autoRedefine/>
    <w:qFormat/>
    <w:uiPriority w:val="0"/>
    <w:pPr>
      <w:widowControl/>
      <w:spacing w:line="360" w:lineRule="auto"/>
      <w:jc w:val="left"/>
    </w:pPr>
  </w:style>
  <w:style w:type="character" w:customStyle="1" w:styleId="75">
    <w:name w:val="批注框文本 Char"/>
    <w:basedOn w:val="37"/>
    <w:link w:val="20"/>
    <w:autoRedefine/>
    <w:qFormat/>
    <w:uiPriority w:val="0"/>
    <w:rPr>
      <w:rFonts w:ascii="Times New Roman" w:hAnsi="Times New Roman" w:eastAsia="宋体" w:cs="Times New Roman"/>
      <w:sz w:val="18"/>
      <w:szCs w:val="18"/>
    </w:rPr>
  </w:style>
  <w:style w:type="paragraph" w:customStyle="1" w:styleId="76">
    <w:name w:val="Char Char Char"/>
    <w:basedOn w:val="1"/>
    <w:autoRedefine/>
    <w:qFormat/>
    <w:uiPriority w:val="0"/>
    <w:rPr>
      <w:rFonts w:ascii="Tahoma" w:hAnsi="Tahoma"/>
      <w:sz w:val="24"/>
    </w:rPr>
  </w:style>
  <w:style w:type="paragraph" w:customStyle="1" w:styleId="77">
    <w:name w:val="Char Char Char Char Char Char Char Char Char Char"/>
    <w:basedOn w:val="1"/>
    <w:autoRedefine/>
    <w:qFormat/>
    <w:uiPriority w:val="0"/>
    <w:rPr>
      <w:rFonts w:ascii="Tahoma" w:hAnsi="Tahoma" w:cs="仿宋_GB2312"/>
      <w:sz w:val="24"/>
    </w:rPr>
  </w:style>
  <w:style w:type="character" w:customStyle="1" w:styleId="78">
    <w:name w:val="批注文字 Char"/>
    <w:basedOn w:val="37"/>
    <w:link w:val="8"/>
    <w:autoRedefine/>
    <w:semiHidden/>
    <w:qFormat/>
    <w:uiPriority w:val="99"/>
    <w:rPr>
      <w:rFonts w:ascii="Times New Roman" w:hAnsi="Times New Roman" w:eastAsia="宋体" w:cs="Times New Roman"/>
      <w:szCs w:val="20"/>
    </w:rPr>
  </w:style>
  <w:style w:type="character" w:customStyle="1" w:styleId="79">
    <w:name w:val="批注主题 Char"/>
    <w:basedOn w:val="78"/>
    <w:link w:val="32"/>
    <w:autoRedefine/>
    <w:semiHidden/>
    <w:qFormat/>
    <w:uiPriority w:val="99"/>
    <w:rPr>
      <w:rFonts w:ascii="Times New Roman" w:hAnsi="Times New Roman" w:eastAsia="宋体" w:cs="Times New Roman"/>
      <w:b/>
      <w:bCs/>
      <w:szCs w:val="20"/>
    </w:rPr>
  </w:style>
  <w:style w:type="paragraph" w:customStyle="1" w:styleId="80">
    <w:name w:val="Char Char Char Char Char Char"/>
    <w:basedOn w:val="1"/>
    <w:autoRedefine/>
    <w:qFormat/>
    <w:uiPriority w:val="0"/>
  </w:style>
  <w:style w:type="character" w:customStyle="1" w:styleId="81">
    <w:name w:val="纯文本 Char"/>
    <w:link w:val="16"/>
    <w:autoRedefine/>
    <w:qFormat/>
    <w:uiPriority w:val="0"/>
    <w:rPr>
      <w:rFonts w:ascii="宋体" w:hAnsi="Courier New" w:eastAsia="宋体"/>
    </w:rPr>
  </w:style>
  <w:style w:type="character" w:customStyle="1" w:styleId="82">
    <w:name w:val="纯文本 Char1"/>
    <w:basedOn w:val="37"/>
    <w:autoRedefine/>
    <w:semiHidden/>
    <w:qFormat/>
    <w:uiPriority w:val="99"/>
    <w:rPr>
      <w:rFonts w:ascii="宋体" w:hAnsi="Courier New" w:eastAsia="宋体" w:cs="Courier New"/>
      <w:szCs w:val="21"/>
    </w:rPr>
  </w:style>
  <w:style w:type="paragraph" w:customStyle="1" w:styleId="83">
    <w:name w:val="Char12 Char Char Char"/>
    <w:basedOn w:val="1"/>
    <w:autoRedefine/>
    <w:qFormat/>
    <w:uiPriority w:val="0"/>
  </w:style>
  <w:style w:type="character" w:customStyle="1" w:styleId="84">
    <w:name w:val="文档结构图 Char"/>
    <w:basedOn w:val="37"/>
    <w:link w:val="7"/>
    <w:autoRedefine/>
    <w:qFormat/>
    <w:uiPriority w:val="0"/>
    <w:rPr>
      <w:rFonts w:ascii="Times New Roman" w:hAnsi="Times New Roman" w:eastAsia="宋体" w:cs="Times New Roman"/>
      <w:szCs w:val="20"/>
      <w:shd w:val="clear" w:color="auto" w:fill="000080"/>
    </w:rPr>
  </w:style>
  <w:style w:type="character" w:customStyle="1" w:styleId="85">
    <w:name w:val="style29"/>
    <w:autoRedefine/>
    <w:qFormat/>
    <w:uiPriority w:val="0"/>
  </w:style>
  <w:style w:type="character" w:customStyle="1" w:styleId="86">
    <w:name w:val="正文1"/>
    <w:autoRedefine/>
    <w:qFormat/>
    <w:uiPriority w:val="0"/>
  </w:style>
  <w:style w:type="character" w:customStyle="1" w:styleId="87">
    <w:name w:val="font11"/>
    <w:autoRedefine/>
    <w:qFormat/>
    <w:uiPriority w:val="0"/>
    <w:rPr>
      <w:rFonts w:hint="default" w:ascii="Times New Roman" w:hAnsi="Times New Roman" w:cs="Times New Roman"/>
      <w:color w:val="3366FF"/>
      <w:sz w:val="24"/>
      <w:szCs w:val="24"/>
      <w:u w:val="none"/>
    </w:rPr>
  </w:style>
  <w:style w:type="character" w:customStyle="1" w:styleId="88">
    <w:name w:val="font21"/>
    <w:autoRedefine/>
    <w:qFormat/>
    <w:uiPriority w:val="0"/>
    <w:rPr>
      <w:rFonts w:hint="eastAsia" w:ascii="宋体" w:hAnsi="宋体" w:eastAsia="宋体"/>
      <w:color w:val="3366FF"/>
      <w:sz w:val="24"/>
      <w:szCs w:val="24"/>
      <w:u w:val="none"/>
    </w:rPr>
  </w:style>
  <w:style w:type="paragraph" w:customStyle="1" w:styleId="89">
    <w:name w:val="Char Char15"/>
    <w:basedOn w:val="1"/>
    <w:autoRedefine/>
    <w:qFormat/>
    <w:uiPriority w:val="0"/>
    <w:rPr>
      <w:rFonts w:ascii="Tahoma" w:hAnsi="Tahoma" w:eastAsia="仿宋_GB2312"/>
      <w:sz w:val="24"/>
    </w:rPr>
  </w:style>
  <w:style w:type="paragraph" w:customStyle="1" w:styleId="90">
    <w:name w:val="列出段落1"/>
    <w:basedOn w:val="1"/>
    <w:autoRedefine/>
    <w:qFormat/>
    <w:uiPriority w:val="0"/>
    <w:pPr>
      <w:ind w:firstLine="420" w:firstLineChars="200"/>
    </w:pPr>
    <w:rPr>
      <w:rFonts w:ascii="Calibri" w:hAnsi="Calibri"/>
      <w:szCs w:val="22"/>
    </w:rPr>
  </w:style>
  <w:style w:type="paragraph" w:customStyle="1" w:styleId="91">
    <w:name w:val="Char2"/>
    <w:basedOn w:val="1"/>
    <w:autoRedefine/>
    <w:qFormat/>
    <w:uiPriority w:val="0"/>
    <w:pPr>
      <w:tabs>
        <w:tab w:val="left" w:pos="360"/>
      </w:tabs>
    </w:pPr>
    <w:rPr>
      <w:sz w:val="24"/>
      <w:szCs w:val="24"/>
    </w:rPr>
  </w:style>
  <w:style w:type="paragraph" w:customStyle="1" w:styleId="92">
    <w:name w:val="Char16"/>
    <w:basedOn w:val="1"/>
    <w:autoRedefine/>
    <w:qFormat/>
    <w:uiPriority w:val="0"/>
    <w:rPr>
      <w:rFonts w:ascii="Tahoma" w:hAnsi="Tahoma" w:eastAsia="仿宋_GB2312"/>
      <w:sz w:val="24"/>
    </w:rPr>
  </w:style>
  <w:style w:type="paragraph" w:customStyle="1" w:styleId="93">
    <w:name w:val="Char Char1"/>
    <w:basedOn w:val="1"/>
    <w:autoRedefine/>
    <w:qFormat/>
    <w:uiPriority w:val="0"/>
    <w:rPr>
      <w:rFonts w:ascii="Tahoma" w:hAnsi="Tahoma"/>
      <w:sz w:val="24"/>
    </w:rPr>
  </w:style>
  <w:style w:type="paragraph" w:customStyle="1" w:styleId="94">
    <w:name w:val="Char Char Char Char Char Char Char"/>
    <w:basedOn w:val="1"/>
    <w:autoRedefine/>
    <w:qFormat/>
    <w:uiPriority w:val="0"/>
    <w:rPr>
      <w:szCs w:val="24"/>
    </w:rPr>
  </w:style>
  <w:style w:type="paragraph" w:customStyle="1" w:styleId="95">
    <w:name w:val="Char Char"/>
    <w:basedOn w:val="1"/>
    <w:autoRedefine/>
    <w:qFormat/>
    <w:uiPriority w:val="0"/>
    <w:rPr>
      <w:rFonts w:ascii="Tahoma" w:hAnsi="Tahoma" w:cs="仿宋_GB2312"/>
      <w:sz w:val="24"/>
    </w:rPr>
  </w:style>
  <w:style w:type="paragraph" w:customStyle="1" w:styleId="96">
    <w:name w:val="Char Char2"/>
    <w:basedOn w:val="1"/>
    <w:autoRedefine/>
    <w:qFormat/>
    <w:uiPriority w:val="0"/>
    <w:rPr>
      <w:rFonts w:ascii="Tahoma" w:hAnsi="Tahoma" w:cs="仿宋_GB2312"/>
      <w:sz w:val="24"/>
    </w:rPr>
  </w:style>
  <w:style w:type="paragraph" w:customStyle="1" w:styleId="97">
    <w:name w:val="Char Char Char1"/>
    <w:basedOn w:val="1"/>
    <w:autoRedefine/>
    <w:qFormat/>
    <w:uiPriority w:val="0"/>
    <w:rPr>
      <w:rFonts w:ascii="Tahoma" w:hAnsi="Tahoma"/>
      <w:sz w:val="24"/>
    </w:rPr>
  </w:style>
  <w:style w:type="paragraph" w:customStyle="1" w:styleId="98">
    <w:name w:val="D&amp;L"/>
    <w:basedOn w:val="22"/>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7"/>
    <w:link w:val="9"/>
    <w:autoRedefine/>
    <w:qFormat/>
    <w:uiPriority w:val="99"/>
    <w:rPr>
      <w:rFonts w:ascii="Calibri" w:hAnsi="Calibri" w:eastAsia="宋体" w:cs="Times New Roman"/>
      <w:sz w:val="16"/>
      <w:szCs w:val="16"/>
      <w:lang w:val="zh-CN" w:eastAsia="zh-CN"/>
    </w:rPr>
  </w:style>
  <w:style w:type="paragraph" w:customStyle="1" w:styleId="10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autoRedefine/>
    <w:qFormat/>
    <w:uiPriority w:val="0"/>
    <w:rPr>
      <w:rFonts w:ascii="Times New Roman" w:hAnsi="Times New Roman" w:eastAsia="宋体"/>
    </w:rPr>
  </w:style>
  <w:style w:type="paragraph" w:customStyle="1" w:styleId="103">
    <w:name w:val="p0"/>
    <w:basedOn w:val="1"/>
    <w:autoRedefine/>
    <w:qFormat/>
    <w:uiPriority w:val="0"/>
    <w:pPr>
      <w:widowControl/>
      <w:jc w:val="left"/>
    </w:pPr>
    <w:rPr>
      <w:rFonts w:ascii="等线" w:hAnsi="等线" w:eastAsia="等线" w:cs="等线"/>
      <w:kern w:val="0"/>
      <w:sz w:val="20"/>
      <w:szCs w:val="22"/>
    </w:rPr>
  </w:style>
  <w:style w:type="paragraph" w:customStyle="1" w:styleId="104">
    <w:name w:val="列表段落1"/>
    <w:basedOn w:val="1"/>
    <w:autoRedefine/>
    <w:qFormat/>
    <w:uiPriority w:val="34"/>
    <w:pPr>
      <w:ind w:firstLine="420" w:firstLineChars="200"/>
    </w:pPr>
    <w:rPr>
      <w:szCs w:val="24"/>
    </w:rPr>
  </w:style>
  <w:style w:type="paragraph" w:customStyle="1" w:styleId="105">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autoRedefine/>
    <w:qFormat/>
    <w:uiPriority w:val="99"/>
    <w:pPr>
      <w:ind w:firstLine="420" w:firstLineChars="200"/>
    </w:pPr>
  </w:style>
  <w:style w:type="table" w:customStyle="1" w:styleId="107">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8">
    <w:name w:val="Table Text"/>
    <w:basedOn w:val="1"/>
    <w:autoRedefine/>
    <w:semiHidden/>
    <w:qFormat/>
    <w:uiPriority w:val="0"/>
    <w:rPr>
      <w:rFonts w:ascii="仿宋" w:hAnsi="仿宋" w:eastAsia="仿宋" w:cs="仿宋"/>
      <w:sz w:val="22"/>
      <w:szCs w:val="22"/>
      <w:lang w:val="en-US" w:eastAsia="en-US" w:bidi="ar-SA"/>
    </w:rPr>
  </w:style>
  <w:style w:type="character" w:customStyle="1" w:styleId="109">
    <w:name w:val="hover4"/>
    <w:basedOn w:val="37"/>
    <w:qFormat/>
    <w:uiPriority w:val="0"/>
    <w:rPr>
      <w:u w:val="single"/>
    </w:rPr>
  </w:style>
  <w:style w:type="character" w:customStyle="1" w:styleId="110">
    <w:name w:val="first-child1"/>
    <w:basedOn w:val="37"/>
    <w:qFormat/>
    <w:uiPriority w:val="0"/>
  </w:style>
  <w:style w:type="character" w:customStyle="1" w:styleId="111">
    <w:name w:val="layui-this"/>
    <w:basedOn w:val="37"/>
    <w:qFormat/>
    <w:uiPriority w:val="0"/>
    <w:rPr>
      <w:bdr w:val="single" w:color="EEEEEE" w:sz="6" w:space="0"/>
      <w:shd w:val="clear" w:fill="FFFFFF"/>
    </w:rPr>
  </w:style>
  <w:style w:type="paragraph" w:customStyle="1" w:styleId="112">
    <w:name w:val="Table Paragraph"/>
    <w:basedOn w:val="1"/>
    <w:qFormat/>
    <w:uiPriority w:val="1"/>
  </w:style>
  <w:style w:type="character" w:customStyle="1" w:styleId="113">
    <w:name w:val="font41"/>
    <w:basedOn w:val="37"/>
    <w:qFormat/>
    <w:uiPriority w:val="0"/>
    <w:rPr>
      <w:rFonts w:hint="default" w:ascii="Calibri" w:hAnsi="Calibri" w:cs="Calibri"/>
      <w:color w:val="000000"/>
      <w:sz w:val="22"/>
      <w:szCs w:val="22"/>
      <w:u w:val="none"/>
    </w:rPr>
  </w:style>
  <w:style w:type="character" w:customStyle="1" w:styleId="114">
    <w:name w:val="标题 2 Char1"/>
    <w:link w:val="3"/>
    <w:qFormat/>
    <w:uiPriority w:val="0"/>
    <w:rPr>
      <w:rFonts w:ascii="Arial" w:hAnsi="Arial" w:eastAsia="黑体"/>
      <w:b/>
      <w:bCs/>
      <w:sz w:val="32"/>
      <w:szCs w:val="32"/>
    </w:rPr>
  </w:style>
  <w:style w:type="character" w:customStyle="1" w:styleId="115">
    <w:name w:val="first-child"/>
    <w:basedOn w:val="37"/>
    <w:qFormat/>
    <w:uiPriority w:val="0"/>
  </w:style>
  <w:style w:type="character" w:customStyle="1" w:styleId="116">
    <w:name w:val="hover5"/>
    <w:basedOn w:val="37"/>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3422</Words>
  <Characters>3903</Characters>
  <Lines>173</Lines>
  <Paragraphs>48</Paragraphs>
  <TotalTime>3</TotalTime>
  <ScaleCrop>false</ScaleCrop>
  <LinksUpToDate>false</LinksUpToDate>
  <CharactersWithSpaces>4022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崔启文ૢ</cp:lastModifiedBy>
  <cp:lastPrinted>2023-10-28T03:27:00Z</cp:lastPrinted>
  <dcterms:modified xsi:type="dcterms:W3CDTF">2026-09-04T02:07:35Z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971915E4DBA94FD384A7B6019524F07C_13</vt:lpwstr>
  </property>
  <property fmtid="{D5CDD505-2E9C-101B-9397-08002B2CF9AE}" pid="4" name="KSOTemplateDocerSaveRecord">
    <vt:lpwstr>eyJoZGlkIjoiMzUzMGRkZGY2MDI2NmEyNjg5OTcyMjMzMmE5Y2UwZTkiLCJ1c2VySWQiOiI0MDkzNzU0NzEifQ==</vt:lpwstr>
  </property>
</Properties>
</file>